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A/433/2015 vom 26. März 2015</w:t>
      </w:r>
    </w:p>
    <w:p>
      <w:r>
        <w:t>GE Cour de justice, 2015-03-26, FR</w:t>
      </w:r>
    </w:p>
    <w:p>
      <w:r>
        <w:rPr>
          <w:b/>
        </w:rPr>
        <w:t xml:space="preserve">Quelle: </w:t>
      </w:r>
      <w:r>
        <w:t>https://mcp.opencaselaw.ch/entscheid/ge_gerichte_A_433_2015</w:t>
      </w:r>
    </w:p>
    <w:p>
      <w:r>
        <w:t>FR: GE_GERICHTE A/433/2015 du 26 mars 2015</w:t>
      </w:r>
    </w:p>
    <w:p>
      <w:r>
        <w:t>IT: GE_GERICHTE A/433/2015 del 26 marzo 2015</w:t>
      </w:r>
    </w:p>
    <w:p>
      <w:pPr>
        <w:pStyle w:val="Heading2"/>
      </w:pPr>
      <w:r>
        <w:t>Erwägungen</w:t>
      </w:r>
    </w:p>
    <w:p>
      <w:r>
        <w:rPr>
          <w:b/>
        </w:rPr>
        <w:t>E. 3</w:t>
      </w:r>
    </w:p>
    <w:p>
      <w:r>
        <w:t>ème Chambre En la cause Monsieur A______, domicilié à Gaillard, France, représenté par B______ . Madame C______, domiciliée à Gaillard, France demandeurs contre FONDATION DE PREVOYANCE DU PERSONNEL DE EFG GROUP (SUISSE) p.a. TRIANON, chemin de la Rueyre 118, RENENS FONDATION DE LIBRE PASSAGE DE LA BANQUE CANTONALE DE GENEVE, case postale 2251, GENÈVE défenderesses EN FAIT 1.        Par jugement du 24 janvier 2013, le Tribunal de grande instance de Thonon les Bains, en France, a prononcé le divorce de Madame A______, née C______ le _______1966, et Monsieur A______, né le _______ 1981, lesquels s’étaient mariés en date du 18 août 2003. ![endif]&gt;![if&gt; Au surplus, le juge civil a homologué la convention portant règlement des effets du divorce et l’a annexée à son jugement. Cette convention prévoyait notamment « de partager par moitié le montant du second pilier, épargné par Madame C______ durant la durée du mariage, soit la somme de 88 723, 55 francs suisses ». Ce jugement est entré en force (cf. confirmation de non-recours du 26 septembre 2014). 2.        Le 21 août 2014, Monsieur A______ a demandé à la Fondation de prévoyance du personnel de EFG Groupe (Suisse) - à laquelle est affiliée son ex-épouse - le transfert d’un montant de CHF 44'361.77 sur un compte de libre passage en sa faveur. Il lui a été répondu que le jugement de divorce prononcé en France était insuffisant et qu’il lui fallait un jugement rendu par la justice suisse. ![endif]&gt;![if&gt; 3.        Le 13 septembre 2014, le demandeur a saisi la Cour des assurances sociales du Tribunal cantonal vaudois, lequel a transmis la cause à la Cour de céans comme objet de sa compétence par arrêt du 27 novembre 2014. ![endif]&gt;![if&gt; 4.        La Cour de céans a alors interrogé la fondation de prévoyance à laquelle est affiliée la demanderesse et a requis la communication du montant des avoirs LPP acquis par l’intéressée durant le mariage, soit entre le 18 août 2003 et le 24 janvier 2013.![endif]&gt;![if&gt; 5.        La Fondation collective TRIANON a indiqué que la demanderesse avait accumulé CHF 91’677.90 durant la période considérée (cf. courrier du 5 mars 2015). ![endif]&gt;![if&gt; 6.        Les documents recueillis au cours de l’instruction ont été transmis aux parties.![endif]&gt;![if&gt; 7.        En l'absence d'objections dans le délai fixé, la cause a été gardée à juger.![endif]&gt;![if&gt; EN DROIT 1.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divorce.![endif]&gt;![if&gt;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 ![endif]&gt;![if&gt; 3.        En l'occurrence, se pose d'abord la question de l'exequatur du jugement de divorce, lequel a été rendu par un tribunal français. ![endif]&gt;![if&gt; a) S'agissant de la reconnaissance de jugements étrangers, il convient de se référer à la loi fédérale sur le droit international privé du 18 mars 1987 (LDIP). Selon son art. 25,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LDIP, lequel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état tiers, pour autant que cette dernière décision remplisse les conditions de sa reconnaissance. L'art. 29 LDIP définit la procédure de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Lorsqu'une décision étrangère est invoquée à titre préalable, l'autorité saisie peut statuer elle-même sur la reconnaissance (art. 29 al. 3 LDIP). b) Il appartient ainsi à la Cour de céans de statuer, à titre préjudiciel, sur la reconnaissance en Suisse du jugement de divorce rendu le 24 janvier 2013 par le Tribunal de grande instance de Thonon les Bains. Le Tribunal fédéral des assurances a confirmé qu'en pareil cas, la juridiction saisie peut faire usage de la faculté réservée par l'art. 29 al. 3 LDIP et statuer elle-même, à titre préjudiciel, sur la reconnaissance en Suisse du divorce prononcé à l'étranger (ATF 6 S.438/2004 du 8 juin 2005; cf. également SJ 2002 II p. 397ss). Il convient donc de vérifier que la reconnaissance du jugement étranger est compatible avec l'ordre public suisse (art. 27 al. 1 LDIP). Tel ne serait pas le cas s'il était contraire à des dispositions impératives du droit suisse (par exemple s'il renvoyait le partage des prestations à une date postérieure à celle du divorce [SJ 2004 I p. 413]). 4.        En l’espèce, le juge français a ordonné le partage par moitié des seuls avoirs de la demanderesse. La convention conclue par les époux et ratifiée par le juge est conforme au droit suisse et n'a pas non plus besoin d'être complétée. Qui plus est, aucun des demandeurs ne s'oppose à la reconnaissance du jugement français. Enfin, l’institution de prévoyance concernée a confirmé le caractère réalisable du partage. Par conséquent, il y a lieu de reconnaître le jugement de divorce et d'exécuter le partage ordonné par le juge français. ![endif]&gt;![if&gt; 5.        Selon les documents produits, la prestation acquise pendant le mariage par la demanderesse atteint la somme de CHF 91’677.90, les intérêts ayant déjà été calculés par l’institution de prévoyance. Ainsi, selon le droit suisse, la demanderesse doit à son ex-époux la somme de CHF 45'838.45 (CHF 91’677.90 : 2). Dans la mesure où ce montant n’est guère éloigné de celui sur lequel les parties se sont expressément mises d’accord (CHF 44'361.80, soit CHF 88'723.55 : 2), il y a lieu d’admettre là encore que l’ordre public suisse n’est pas mis à mal. ![endif]&gt;![if&gt;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2003).![endif]&gt;![if&gt; 7.        Le demandeur étant domicilié en France, se pose la question de savoir si le montant qui lui est dû peut lui être versé en espèces ou doit l'être sur un compte de prévoyance. ![endif]&gt;![if&gt; Cette question peut cependant demeurer ouverte dans la mesure où le demandeur a d’ores et déjà ouvert un compte de libre passage et réclame le versement du montant dû sur ce compte. 8.        Aucun émolument ne sera perçu, la procédure étant gratuite (art. 73 al. 2 LPP et 89H al. 1 de la loi sur la procédure administrative du 12 septembre 1985).![endif]&gt;![if&gt;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