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A/4334/2022 vom 10. Juni 2024</w:t>
      </w:r>
    </w:p>
    <w:p>
      <w:r>
        <w:t>GE Cour de justice, 2024-06-10, FR</w:t>
      </w:r>
    </w:p>
    <w:p>
      <w:r>
        <w:rPr>
          <w:b/>
        </w:rPr>
        <w:t xml:space="preserve">Quelle: </w:t>
      </w:r>
      <w:r>
        <w:t>https://mcp.opencaselaw.ch/entscheid/ge_gerichte_A_4334_2022</w:t>
      </w:r>
    </w:p>
    <w:p>
      <w:r>
        <w:t>FR: GE_GERICHTE A/4334/2022 du 10 juin 2024</w:t>
      </w:r>
    </w:p>
    <w:p>
      <w:r>
        <w:t>IT: GE_GERICHTE A/4334/2022 del 10 giugno 2024</w:t>
      </w:r>
    </w:p>
    <w:p>
      <w:pPr>
        <w:pStyle w:val="Heading2"/>
      </w:pPr>
      <w:r>
        <w:t>Regeste</w:t>
      </w:r>
    </w:p>
    <w:p>
      <w:r>
        <w:t>TRAVAUX DE CONSTRUCTION;TRAVAUX SOUMIS À AUTORISATION;RÉNOVATION D'IMMEUBLE;LOYER CONTRÔLÉ;LOGEMENT;PERMIS DE CONSTRUIRE;SURVEILLANCE ÉTATIQUE;ÉGALITÉ DE TRAITEMENT;PRATIQUE JUDICIAIRE ET ADMINISTRATIVE;CHANGEMENT DE PRATIQUE | Admission partielle d’un recours contre un décision d’autorisation de construire fixant un loyer pendant cinq ans, après des travaux de transformation et rénovation complète (sanitaires, cuisine, peintures, carrelage, parquet, électricité et chauffage ainsi qu’une modification de la typologie de l’appartement par la permutation entre la cuisine et la chambre à coucher). En raison de plans erronés déposés par la requérante, le calcul du nombre de pièces retenu dans le préavis de l’OCLPF faisant partie intégrante de la décision était faux. Après instruction, il s’avère qu’il s’agit d’un appartement de 3 pièces et non de 2.5 pièces et l’autorisation de construire doit être modifiée sur ce point. Rejet du recours en tant qu’il porte sur la pratique du département depuis le 1er novembre 2020 de qualifier de transformation lourde des travaux qui portent également sur la permutation de pièces, la transformation de pièces humides en pièces sèches et vice versa, ainsi que sur tous les travaux supplémentaires que ces modifications entraînent. | Cst.8; Cst.9; RGL.1; RGL.4; LCI.1; LCI.2.al3; LCI.3.al7; RCI.3.al3; LDTR.3.al1; LDTR.10; LDTR.12; LDTR.14.al1</w:t>
      </w:r>
    </w:p>
    <w:p>
      <w:pPr>
        <w:pStyle w:val="Heading2"/>
      </w:pPr>
      <w:r>
        <w:t>Erwägungen</w:t>
      </w:r>
    </w:p>
    <w:p>
      <w:r>
        <w:rPr>
          <w:b/>
        </w:rPr>
        <w:t>E. 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3</w:t>
      </w:r>
    </w:p>
    <w:p>
      <w:r>
        <w:t>La recourante reproche au TAPI une violation de son droit d’être entendue, celui‑ci n’ayant pas pris en compte les nouveaux plans produits, lesquels prouvaient selon lui que le logement était un trois pièces et non un deux pièces et demie comme retenu dans la décision et le jugement.</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 142 III 48 consid. 4.1.1 ; arrêt du Tribunal fédéral 1C_157/2021 du 7 juillet 2021 consid. 3.1). Il comprend également le droit d’obtenir une décision motivée (ATF 142 II 154 consid. 4.2 ; 141 V 557 consid. 3.2.1 ; arrêt du Tribunal fédéral 2C_41/2020 du 24 juin 2020 consid. 5.1.1). L’autorité n’est toutefois pas tenue de prendre position sur tous les moyens des parties ; elle peut se limiter aux questions décisives, mais doit se prononcer sur celles-ci (ATF 143 III 65 consid. 5.2 ; 142 II 154 consid. 4.2 ; arrêt du Tribunal fédéral 2C_954/2020 du 26 juillet 2021 consid. 4.1). Il suffit, du point de vue de la motivation de la décision, que les parties puissent se rendre compte de sa portée à leur égard et, le cas échéant, recourir contre elle en connaissance de cause (ATF 146 II 335 consid. 5.1 ; 143 III 65 consid. 5.2 ; arrêt du Tribunal fédéral 8C_463/2019 du 10 juin 2020 consid. 4.5). Le droit d'être entendu est une garantie de nature formelle dont la violation doit en principe entraîner l'annulation de la décision attaquée, indépendamment des chances du recourant sur le fond. Selon la jurisprudence, une telle violation peut néanmoins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w:t>
      </w:r>
    </w:p>
    <w:p>
      <w:r>
        <w:rPr>
          <w:b/>
        </w:rPr>
        <w:t>E. 3.2</w:t>
      </w:r>
    </w:p>
    <w:p>
      <w:r>
        <w:t>En l'occurrence, la recourante s'est prévalue, dans son acte de recours, des nouveaux plans produits devant le TAPI, lesquels figurent au dossier. Elle a par ailleurs pu produire, dans le cadre de la procédure de recours, plusieurs pièces complémentaires relatives à la même problématique, lesquelles ont été abondamment commentées par elle-même et le département dans leurs écritures respectives. Elle a ainsi pu s'exprimer librement devant la chambre de céans, qui dispose, en fait et en droit, du même pouvoir d'examen que le TAPI. Une éventuelle violation du droit d'être entendu par ce dernier doit donc être considérée comme guérie. Le grief doit ainsi être écarté.</w:t>
      </w:r>
    </w:p>
    <w:p>
      <w:r>
        <w:rPr>
          <w:b/>
        </w:rPr>
        <w:t>E. 4</w:t>
      </w:r>
    </w:p>
    <w:p>
      <w:r>
        <w:t>Il convient de déterminer le nombre de pièces de l’appartement litigieux, l’autorité intimée et le TAPI ayant retenu deux pièces et demie et la recourante trois.</w:t>
      </w:r>
    </w:p>
    <w:p>
      <w:r>
        <w:rPr>
          <w:b/>
        </w:rPr>
        <w:t>E. 4.1</w:t>
      </w:r>
    </w:p>
    <w:p>
      <w:r>
        <w:t>L’art. 1 RGL définit la façon de calculer le nombre de pièces des logements soumis à la loi générale sur le logement et la protection des locataires du 4 décembre 1977 (LGL - I 4 05). La chambre de céans a toujours considéré qu’il était possible d’appliquer l’art. 1 RGL, par analogie, au calcul du nombre de pièces selon la LDTR, les buts poursuivis par ces deux lois relevant d’un même souci de préserver l’habitat et de lutter contre la pénurie de logements à Genève ( ATA/870/2023 du 22 août 2023 consid. 5.8 ; ATA/1586/2017 du 12 décembre 2017 consid. 3e et les arrêts cités). Cette jurisprudence a été confirmée par le Tribunal fédéral (arrêt du Tribunal fédéral 1C_323/2014 du 10 octobre 2014 consid. 7.2). Ainsi, pour calculer le nombre de pièces au sens de la LDTR, il convient de se référer à l’art. 1 RGL, et notamment à son al. 5 qui prévoit des surfaces nettes minimum, un nombre de pièces habitables distinctes minimum ainsi qu’un nombre d’occupants moyen pour déterminer le nombre de pièces d’un logement. À ces chiffres s’ajoute, selon cette disposition, l’assurance d’un usage confortable du logement, démontré au moyen d’un plan meublé, pour le nombre d’occupants visé. Pour un trois pièces, les critères sont : une surface nette minimale de 39 m 2 , deux pièces habitables distinctes et un nombre d’occupants moyen de deux. Pour le calcul du nombre de pièces des logements, il est tenu compte de la surface nette, telle que définie à l'art. 4 RGL (art. 1 al. 4 RGL). Par surface nette du logement, il faut entendre l’addition des surfaces des pièces, d'au moins 9 m 2 , et des demi-pièces, d'au moins 6 m 2 , habitables, du logement et de la cuisine, ainsi que du laboratoire (art. 4 al. 1 RGL). Ne sont pas pris en compte les gaines techniques, halls, dégagements, couloirs, réduits et locaux sanitaires, loggias, balcons, terrasses, jardins, ni les trémies des escaliers des duplex (art. 4 al. 2 RGL).</w:t>
      </w:r>
    </w:p>
    <w:p>
      <w:r>
        <w:rPr>
          <w:b/>
        </w:rPr>
        <w:t>E. 4.2</w:t>
      </w:r>
    </w:p>
    <w:p>
      <w:r>
        <w:t>Au cours de l’instruction devant la chambre administrative, des plans du logement établis par un MPQ, tels que requis par l’art. 2 al. 3 LCI, ont été produits, lesquels diffèrent encore de ceux produits devant le TAPI et de ceux figurant au dossier d’autorisation. Selon ces plans, l’appartement, d’une surface totale de 48.48 m 2 , compte une cuisine ouverte de 13.88 m 2 , un séjour de 12.90 m 2 , un hall de 4.37 m 2 , une salle‑de‑bains de 3.60 m 2 et une chambre de 13.73 m 2 . Il n’est plus contesté que la surface nette du logement est de 40.51 m 2 (13.73 m 2 pour la chambre, 12.9 m 2 pour le séjour et 13.88 m 2 pour la cuisine), soit 1.51 m 2 de plus que le minimum pour un logement de trois pièces qui est de 39 m 2 (art. 1 al. 5 RGL). Les autres conditions permettant de retenir qu’il s’agit d’un trois pièces prévues par l’art. 1 al. 5 et 7 RGL, soit qu’il existe un minimum de deux pièces habitables distinctes et que le nombre d’occupants moyen soit de deux, apparaissent également remplies en l’espèce. Le département n’a d’ailleurs pas contredit le raisonnement tenu par la recourante sur ce point après le dépôt du plan. Le recours sera donc admis sur ce point, l’appartement devant être qualifié de trois pièces et non de deux pièces et demie comme retenu dans le préavis de l’OCLPF –sans faute de sa part puisqu’il avait été induit en erreur par les plans erronés déposés – faisant partie intégrante de la décision d’autorisation de construire. L’autorisation de construire devra donc être modifiée sur ce point.</w:t>
      </w:r>
    </w:p>
    <w:p>
      <w:r>
        <w:rPr>
          <w:b/>
        </w:rPr>
        <w:t>E. 5</w:t>
      </w:r>
    </w:p>
    <w:p>
      <w:r>
        <w:t>La recourante conteste également la durée de contrôle des loyers fixée à cinq ans en raison de la qualification de « transformations lourdes » faite des travaux prévus, ce qui serait contraire à l’art. 12 LDTR. La durée de contrôle des loyers devait en conséquence être ramenée à trois ans.</w:t>
      </w:r>
    </w:p>
    <w:p>
      <w:r>
        <w:rPr>
          <w:b/>
        </w:rPr>
        <w:t>E. 5.1</w:t>
      </w:r>
    </w:p>
    <w:p>
      <w:r>
        <w:t>Le département compétent fixe, comme condition aux autorisations de démolir ou de transformer, le montant maximum des loyers après travaux (art. 10 LDTR). Les loyers sont soumis au contrôle de l'État pendant une période de trois ans en cas de transformation ou de rénovation, jusqu'à cinq ans pour une transformation lourde et de cinq à dix ans en cas de construction nouvelle (art. 12 LDTR). Pendant la période de contrôle, les loyers et les prix de vente fixés par le département ne peuvent être dépassés (art. 14 al. 1 LDTR).</w:t>
      </w:r>
    </w:p>
    <w:p>
      <w:r>
        <w:rPr>
          <w:b/>
        </w:rPr>
        <w:t>E. 5.2</w:t>
      </w:r>
    </w:p>
    <w:p>
      <w:r>
        <w:t>La recourante estime que l’art. 12 LDTR devrait être interprété en ce sens que les transformations lourdes ne recouvrent que les travaux effectués sur un immeuble entier avec réfection de la toiture ou des façades, le remplacement de sanitaires, etc. mais ne saurait être appliqué lorsque les travaux touchent un seul appartement. Elle allègue notamment que cette interprétation et la distinction entre transformation simple et lourde a été faite par le législateur. Or il ressort des travaux préparatoires – auxquels se réfère d’ailleurs la recourante en omettant le contexte dans lesquels ils ont été entrepris– que le législateur a voulu distinguer deux types de travaux, soit ceux de transformation de ceux de rénovation, notion qui n’existait pas encore dans la loi à l’époque (MGC, 1989 III p. 3630). Ces travaux préparatoires ont débouché sur cette distinction, qui est toujours d’actualité puisque l’art. 3 al. 1 LDTR distingue les travaux de transformation ayant pour but la modification de l’architecture, du volume, de l’implantation, de la destination et de la distribution intérieure de tout ou partie d’une maison d’habitation (let. a), de ceux ayant pour objet la rénovation, c’est-à-dire la remise en état, même partielle, de tout ou partie d’une maison d’habitation, en améliorant le confort existant sans modifier la distribution des logements (let. d). Rien ne permet de retenir l’interprétation voulue par la recourante, qui ne s’appuie ni sur le texte des dispositions concernées ni sur la jurisprudence rendue en application de la LDTR. En effet, les art. 10 ss LDTR trouvent application que les travaux portent sur l’ensemble d’un immeuble ou seulement sur l’un des logements de celui-ci, comme en l’espèce. L’art. 3 al. 1 let. a ou d LDTR l’indique d’ailleurs en toutes lettres, comme vu ci-dessus. Le même terme de transformation, utilisé également dans l’art. 12 LDTR, ne saurait donc être interprété comme étant limité à des travaux qui ne concerneraient que l’entier du bâtiment. Le grief sera donc écarté.</w:t>
      </w:r>
    </w:p>
    <w:p>
      <w:r>
        <w:rPr>
          <w:b/>
        </w:rPr>
        <w:t>E. 5.3</w:t>
      </w:r>
    </w:p>
    <w:p>
      <w:r>
        <w:t>Dans sa jurisprudence rendue concernant l’art. 12 LDTR, la chambre de céans a confirmé à plusieurs reprises la durée du contrôle fixée à cinq ans retenue par le département, notamment pour la création d’appartements à partir de la réunion de chambre isolées ( ATA/567/2005 du 16 août 2005) ou la reconstruction à neuf du dernier étage d’un immeuble ( ATA/100/2010 du 16 février 2010). La chambre de céans a jugé que des travaux d’un montant total de CHF 58'379.-, correspondant à un montant de CHF 14'594.75/pièce, portant notamment sur une refonte des espaces et la démolition de cloisons, la démolition/reconstruction de parties de corniches et de plafonds, le changement complet du réseau électrique et l’installation de nouveaux câblages, prises et interrupteurs, pouvaient à juste titre être qualifié de transformations lourdes justifiant l’application d’un délai de contrôle de cinq ans, s’agissant d’une rénovation profonde et considérable ( ATA/260/2014 du 14 avril 2014). Elle a aussi qualifié de transformation lourde la rénovation intégrale d’un bâtiment avec transformation des 19 logements en six appartements de grande taille avec une redistribution des pièces (notamment WC et cuisines) ( ATA/373/2016 du 3 mai 2016). Dans deux jugements du TAPI, qui n’ont pas été contestés, la durée de contrôle du loyer de cinq ans a été confirmée pour des travaux portant sur la réfection complète des peintures d'un logement de quatre pièces, la rénovation des carrelages et faïences de la cuisine, la salle de bain et les toilettes, la mise en conformité des installations électriques, la pose d'un nouvel agencement de cuisine, la rénovation des installations sanitaires, la réfection des menuiseries, la pose d'un nouveau parquet ainsi que la permutation et modification de la disposition des pièces, la cuisine devenant une chambre. Le montant des travaux était de CHF 168'287.-, soit CHF 40'000.- par pièce ( JTAPI/1300/2022 et JTAPI/1301/2022 du 29 novembre 2022).</w:t>
      </w:r>
    </w:p>
    <w:p>
      <w:r>
        <w:rPr>
          <w:b/>
        </w:rPr>
        <w:t>E. 5.4</w:t>
      </w:r>
    </w:p>
    <w:p>
      <w:r>
        <w:t>En l’espèce, les travaux autorisés portent sur la rénovation complète des sanitaires, de la cuisine, des peintures, carrelages, parquets, électricité et chauffage de l’appartement ainsi que sur la permutation entre la cuisine et la chambre à coucher, soit entre une pièce humide et une pièce sèche, ce qui implique d’autres travaux spécifiques. Le coût total des travaux est de CHF 127'300.- ; rapporté au nombre de pièces établi ci-dessus, il est d’environ CHF 42'000.-/pièce. Compte tenu de la jurisprudence développée en la matière et rappelée ci-dessus, il appert que les travaux sont importants, tant pas leur coût que par leur ampleur, s’agissant d’une rénovation complète du logement, du réaménagement de la distribution des pièces et de la typologie, la cuisine et le salon étant ouverts. La qualification de transformation lourde implicitement retenue par le département pour considérer comme justifiée une durée de contrôle du loyer de cinq ans, suivant en cela le préavis rendu par l’OCLPF, apparaît donc, en principe, conforme à l’art. 12 LDTR.</w:t>
      </w:r>
    </w:p>
    <w:p>
      <w:r>
        <w:rPr>
          <w:b/>
        </w:rPr>
        <w:t>E. 6</w:t>
      </w:r>
    </w:p>
    <w:p>
      <w:r>
        <w:t>La recourante fait toutefois valoir que les travaux, ayant été autorisés par APA, le qualificatif de transformation lourde serait contradictoire.</w:t>
      </w:r>
    </w:p>
    <w:p>
      <w:r>
        <w:rPr>
          <w:b/>
        </w:rPr>
        <w:t>E. 6.1</w:t>
      </w:r>
    </w:p>
    <w:p>
      <w:r>
        <w:t>Selon l'art. 3 al. 7 LCI, le département peut traiter, par une procédure accélérée, notamment les demandes d'autorisation relatives à des travaux, soumis à l'art. 1 LCI, portant sur la modification intérieure d'un bâtiment existant ou ne modifiant pas l'aspect général de celui-ci (let. b). La procédure accélérée peut également être retenue pour des constructions nouvelles de peu d'importance ou provisoires (let. c). Sont réputées constructions de peu d'importance, à la condition qu'elles ne servent ni à l'habitation, ni à l'exercice d'une activité commerciale, industrielle ou artisanale, celles dont la surface n'excède pas 50 m 2 et qui répondent à certaines exigences de gabarit (art. 3 al. 3 RCI).</w:t>
      </w:r>
    </w:p>
    <w:p>
      <w:r>
        <w:rPr>
          <w:b/>
        </w:rPr>
        <w:t>E. 6.2</w:t>
      </w:r>
    </w:p>
    <w:p>
      <w:r>
        <w:t>De jurisprudence constante, la chambre administrative, considère comme nulle une autorisation délivrée à la suite d'une procédure accélérée en lieu et place de la procédure ordinaire, la publication des demandes d'autorisation, non applicable aux APA (art. 3 al. 1 et 7 LCI) comptant au nombre des dispositions impératives de droit public (ATA W. du 4 septembre 1974 in RDAF 1975 p. 33 ss). La procédure d'APA est de nature à empêcher toute opposition émanant des voisins, des tiers intéressés et des associations de sauvegarde du patrimoine. Même dans les cas où les intéressés se sont manifestés par la suite, ils ont perdu un degré de juridiction. Il est d'intérêt public de priver l'acte vicié de tout effet juridique en raison de l'importance qu'il y a de ne porter aucune atteinte aux garanties de propriété ou de voisinage ( ATA/1299/2019 du 27 août 2019 consid. 3b ; ATA/205/2015 du 24 février 2015 consid. 5 ss ; ATA/725/2013 du 29 octobre 2013 et les références citées).</w:t>
      </w:r>
    </w:p>
    <w:p>
      <w:r>
        <w:rPr>
          <w:b/>
        </w:rPr>
        <w:t>E. 6.3</w:t>
      </w:r>
    </w:p>
    <w:p>
      <w:r>
        <w:t>Au vu de ces précisions, il appert que le choix fait par le département de délivrer une APA est motivée par le fait que les travaux prévus concernent uniquement l’intérieur d’un appartement. Il appert également que l’importance des travaux, que ce soit sous l’aspect de la lourdeur des transformations ou des coûts des travaux, n’entre pas en considération dans le choix de traiter une demande d’autorisation par la procédure accélérée, contrairement à ce que soutient la recourante sans avancer d’argument en lien avec la disposition légale concernée. Son grief tombe ainsi à faux.</w:t>
      </w:r>
    </w:p>
    <w:p>
      <w:r>
        <w:rPr>
          <w:b/>
        </w:rPr>
        <w:t>E. 7</w:t>
      </w:r>
    </w:p>
    <w:p>
      <w:r>
        <w:t>La recourante fait encore valoir le principe d’égalité de traitement, des appartements situés dans le même bâtiment ayant fait l’objet de transformations identiques, respectivement en 2018 pour l’APA/3______/1 et 2019 pour l’APA/4______/1.</w:t>
      </w:r>
    </w:p>
    <w:p>
      <w:r>
        <w:rPr>
          <w:b/>
        </w:rPr>
        <w:t>E. 7.1</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 Selon la jurisprudence, un justiciable ne saurait en principe se prétendre victime d’une inégalité de traitement lorsque la loi est correctement appliquée à son cas, alors même que dans d’autres cas, elle aurait reçu une fausse application ou n’aurait pas été appliquée du tout. Si l'autorité ne s'exprime pas sur ses intentions futures, l'autorité judiciaire présume qu'elle se conformera à son jugement (ATF 122 II 446 consid. 4a ; arrêt du Tribunal fédéral 1C_270/2021 du 1 er octobre 2021 consid. 3.1).</w:t>
      </w:r>
    </w:p>
    <w:p>
      <w:r>
        <w:rPr>
          <w:b/>
        </w:rPr>
        <w:t>E. 7.2</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ATA/877/2023 du 22 août 2023 consid. 5.7 et les arrêts cités). Pour être compatible avec les art. 8 et 9 Cst., un changement de pratique administrative doit reposer sur des motifs sérieux et objectifs, c'est-à-dire rétablir une pratique conforme au droit ou remédier à celle qui aurait conduit à des abus répétés (ATF 126 V 36 consid. 5a et les arrêts cités),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142 V 112 consid. 4.4 ; 135 I 79 consid. 3 ; arrêt du Tribunal fédéral 1C_44/2021 du 8 août 2021 consid. 6.1). Lorsque ces motifs sont donnés et pour autant que la nouvelle pratique s’applique de façon générale à tous les cas non encore traités au moment de son adoption, un changement de pratique ne contrevient ni à la sécurité du droit, ni à l’égalité de traitement et ce, bien qu’il en résulte inévitablement une différence de traitement entre les cas anciens et les cas nouveaux (ATF 125 II 152 consid. 4c/aa = RDAF 2000 I p. 575, 577 ; arrêt du Tribunal fédéral 9C_283/2010 du 17 décembre 2010 consid. 4.2). Lorsqu’il n’est pas accompagné d’un changement législatif, un changement de pratique justifié vaut en général immédiatement et pour toutes les procédures pendantes ( ATA/515/2023 du 16 mai 2023 consid. 3.2 et les arrêts cités). Lorsque la nouvelle pratique est défavorable à l'assujetti, le droit à la protection de la bonne foi doit être pris en considération et peut s'opposer à l'application immédiate de la nouvelle pratique. Selon les cas, elle ne peut être appliquée qu'après avoir été préalablement annoncée ; il en va ainsi notamment en matière de droits des parties dans la procédure (ATF 135 II 78 consid. 3.2).</w:t>
      </w:r>
    </w:p>
    <w:p>
      <w:r>
        <w:rPr>
          <w:b/>
        </w:rPr>
        <w:t>E. 7.3</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Il protège le citoyen dans la confiance légitime qu'il met dans les assurances reçues des autorités lorsqu'il a réglé sa conduite d'après des décisions, des déclarations ou un comportement déterminé de l'administration (ATF 137 II 182 consid. 3.6.2 ; 137 I 69 consid. 2.5.1). Plus largement, le principe de la bonne foi s'applique lorsque l'administration crée une apparence de droit, sur laquelle l'administré se fonde pour adopter un comportement qu'il considère dès lors comme conforme au droit. Ce principe, qui ne peut avoir qu'une influence limitée dans les matières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 consid. 6.1 ; arrêt du Tribunal fédéral 6B_659/2013 du 4 novembre 2013 consid. 3.1).</w:t>
      </w:r>
    </w:p>
    <w:p>
      <w:r>
        <w:rPr>
          <w:b/>
        </w:rPr>
        <w:t>E. 7.4</w:t>
      </w:r>
    </w:p>
    <w:p>
      <w:r>
        <w:t>En l’espèce, la pratique adoptée par le département depuis le 1 er novembre 2020 consiste à qualifier, en principe, de transformation lourde les travaux qui ne consistent pas en une « simple » rénovation mais portent également sur la permutation de pièces, la transformation de pièces humides en pièces sèches et vice versa, ainsi que sur tous les travaux supplémentaires que ces modifications entraînent. Cette qualification est conforme au droit, comme vu ci-dessus, et les autorisations dont se prévaut la recourante sont antérieures au 1 er novembre 2020. La recourante n’allègue pas avoir reçu d’assurance de la part du département et elle n’allègue pas non plus avoir pris de dispositions, au sens de la jurisprudence, fondées sur le comportement de l’autorité intimée. Depuis le changement de pratique, le TAPI a pu constater dans ses jugements JTAPI/1300/2022 et JTAPI/1301/2022 précités que l’ensemble des autorisations délivrées depuis le 1 er novembre 2020 dans des cas similaires l’a été en prescrivant une durée de contrôle de cinq ans. En conséquence, il n’est pas possible de retenir une violation des principes de l’égalité de traitement ou de la bonne foi. Le grief sera écarté. Il découle de ce qui précède que le recours doit être admis partiellement et l’autorisation de construire modifiée s’agissant du nombre de pièces de l’appartement. En conséquence, le dossier sera renvoyé au département pour nouvelle décision, au sens des considérants.</w:t>
      </w:r>
    </w:p>
    <w:p>
      <w:r>
        <w:rPr>
          <w:b/>
        </w:rPr>
        <w:t>E. 8</w:t>
      </w:r>
    </w:p>
    <w:p>
      <w:r>
        <w:t>Le caractère erroné de la décision initiale, et donc l’admission partielle du recours, sont uniquement dus au fait que les plans déposés par la recourante avec sa demande d’autorisation se sont avérés imprécis, voire faux, ce qu’elle a reconnu. Il en va au demeurant de même d’une partie des plans qu’elle a déposés en cours de procédure, lesquels ne permettaient pas de calculer à l’aide d’une règle à échelle multiple la surface de l’appartement. Il se justifie donc de mettre à sa charge un émolument de CHF 1'000.- (art. 87 al. 1 LPA) et il ne lui sera pas alloué d’indemnité de procédure pour les mêmes motifs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