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A/431/2020 vom 7. April 2020</w:t>
      </w:r>
    </w:p>
    <w:p>
      <w:r>
        <w:t>GE Cour de justice, 2020-04-07, FR</w:t>
      </w:r>
    </w:p>
    <w:p>
      <w:r>
        <w:rPr>
          <w:b/>
        </w:rPr>
        <w:t xml:space="preserve">Quelle: </w:t>
      </w:r>
      <w:r>
        <w:t>https://mcp.opencaselaw.ch/entscheid/ge_gerichte_A_431_2020</w:t>
      </w:r>
    </w:p>
    <w:p>
      <w:r>
        <w:t>FR: GE_GERICHTE A/431/2020 du 7 avril 2020</w:t>
      </w:r>
    </w:p>
    <w:p>
      <w:r>
        <w:t>IT: GE_GERICHTE A/431/2020 del 7 aprile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1 er juillet 2017 est entrée en vigueur la loi sur les taxis et les voitures de transport avec chauffeur du 13 octobre 2016 (LTVTC - H 1 31) et le règlement d'exécution de la LTVTC du 21 juin 2017 (RTVTC - H 1 31.01), abrogeant la LTaxis et son règlement d'exécution du 4 mai 2005 (RTaxis). Aux termes des dispositions transitoires du RTVTC, les faits constatés avant l'entrée en vigueur de la LTVTC se poursuivent selon l'ancien droit et devant les autorités compétentes sous l'empire de ce droit. L'art. 48 LTaxis, concernant la commission de discipline, n'est toutefois pas applicable (art. 66 al. 1 RTVTC). L'application du nouveau droit est réservée, si ce dernier est plus favorable à l'auteur de l'infraction (art. 66 al. 2 RTVTC). À cet égard, l'art. 66 al. 1 première phrase RTVTC ne fait que reprendre la règle générale selon laquelle s'appliquent aux faits dont les conséquences juridiques sont en cause, les normes en vigueur au moment où ces faits se produisent ( ATA/629/2018 du 19 juin 2018 et les références citées). L'art. 66 al. 2 RTVTC reprend quant à lui le principe de la lex mitior applicable aux sanctions. b. En l'espèce, les faits reprochés au recourant se sont déroulés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LTaxis, punissant d'une amende administrative de CHF 100.- à CHF 20'000.- toute personne ayant enfreint les prescriptions de la LTaxis ou ses dispositions d'exécution ( ATA/629/2018 précité et les références citées). La présente cause est donc soumise à la LTaxis et au RTaxis.</w:t>
      </w:r>
    </w:p>
    <w:p>
      <w:r>
        <w:rPr>
          <w:b/>
        </w:rPr>
        <w:t>E. 3</w:t>
      </w:r>
    </w:p>
    <w:p>
      <w:r>
        <w:t>Au vu de la date du présent arrêt, la prescription de trois ans (art. 109 CP) appliqué par analogie, avec l'art. 98 CP ; ATA/313/2017 précité consid. 4b et les références citées), examinée d'office lorsqu'elle joue en faveur de l'administré (ATF 138 II 169 consid. 3.2 ; ATA/1368/2017 du 10 octobre 2017), n'est pas acquise pour l'infraction reprochée au recourant.</w:t>
      </w:r>
    </w:p>
    <w:p>
      <w:r>
        <w:rPr>
          <w:b/>
        </w:rPr>
        <w:t>E. 4</w:t>
      </w:r>
    </w:p>
    <w:p>
      <w:r>
        <w:t>Le recourant conteste la commission d'une quelconque infraction, les dispositions de la LMI lui permettant d'exercer librement une activité de chauffeur de taxi sans carte professionnelle de chauffeur sur l'ensemble du territoire suisse, en particulier à Genève.</w:t>
      </w:r>
    </w:p>
    <w:p>
      <w:r>
        <w:rPr>
          <w:b/>
        </w:rPr>
        <w:t>E. 5</w:t>
      </w:r>
    </w:p>
    <w:p>
      <w:r>
        <w:t>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aLTaxis). Seul le titulaire d'une carte professionnelle de chauffeur de taxi ou de chauffeur de limousine peut conduire un véhicule pour transporter professionnellement des personnes (art. 5 al. 1 aLTaxis). La carte professionnelle de chauffeur de taxi confère au chauffeur le droit d'exercer son activité comme chauffeur de taxi ou de limousine indépendant ou comme employé d'un tel chauffeur, ainsi qu'en qualité d'employé d'une entreprise de taxis ou de limousines ou de locataire d'un véhicule d'une entreprise de taxis de service public (art. 6 al. 1 aLTaxis). La carte professionnelle de chauffeur de limousine confère au chauffeur le droit d'exercer son activité comme chauffeur indépendant d'une limousine ou comme employé d'un exploitant indépendant ou d'une entreprise de limousines (art. 7 al. 1 aLTaxis). Ces autorisations sont délivrées lorsque le requérant a notamment réussi les examens prévus par la loi (art. 6 al. 2 let. d et 7 al. 2 let. d aLTaxis).</w:t>
      </w:r>
    </w:p>
    <w:p>
      <w:r>
        <w:rPr>
          <w:b/>
        </w:rPr>
        <w:t>E. 6</w:t>
      </w:r>
    </w:p>
    <w:p>
      <w:r>
        <w:t>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 Les restrictions visées à l'art. 3 al. 1 LMI ne doivent en aucun cas constituer une barrière déguisée à l'accès au marché destinée à favoriser les intérêts économiques locaux (art. 3 al. 3 LMI). 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2ème éd., 2013, n. 65 ss ad Intro. LMI). Le principe du libre accès au marché a été renforcé par la modification de la LMI du 16 décembre 2005 entrée en vigueur le 1er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 ; ATA/1212/2018 du 13 novembre 2018 et les références citées). b. L'autorisation d'accès au marché du lieu de destination doit être accordée dans tous les cas - sans charges, ni conditions aucunes - excepté lorsque l'autorité du lieu de destination parvient à démontrer que la législation du lieu de provenance ne tient pas suffisamment compte d'intérêts publics prépondérants au sens de l'art. 3 LMI (ATF 135 II 12 consid. 2.4 = JdT 2009 I 364). Seulement dans un tel cas, l'autorité du lieu de destination est autorisée à soumettre l'autorisation d'accès au marché à des charges et à des conditions, lesquelles devront encore respecter l'exigence de proportionnalité. La diversité réglementaire inhérente à la structure fédéraliste de la Suisse a pour conséquence que certaines professions sont réglementées dans le canton de destination, alors qu'elles peuvent être librement exercées dans le canton de provenance. Dans un tel cas, l'autorité du lieu de destination ne saurait se contenter de relever l'absence de réglementation au lieu de provenance pour imposer des charges et des conditions. L'art. 3 al. 2 let. d LMI impose dans ce cas de tenir compte de l'expérience professionnelle acquise au lieu de provenance et de vérifier si une protection suffisante des intérêts publics prépondérants ne peut être atteinte par ce biais. L'art. 3 al. 3 LMI oblige les autorités à tenir aussi compte de l'expérience professionnelle que l'offreur a acquise au lieu de provenance lorsqu'elles procèdent à un examen sous l'angle de la proportionnalité. Le fait d'avoir dûment exercé une activité professionnelle pendant trois années consécutives peut être considéré comme suffisant, s'agissant de la notion de « protection suffisante des intérêts publics ». La reconnaissance de l'expérience professionnelle est notamment importante dans les cas où aucun titre n'est exigé dans le canton de provenance (Message révision LMI in FF 2005 p. 421 ss, p. 442 ; ATA/1039/2017 du 30 juin 2017 consid. 6 et les références citées). c. Le titulaire de la liberté d'accès au marché doit établir son droit. Pour ce faire, il lui suffit de rapporter la preuve que l'activité qu'il entend mener au lieu de destination est licite selon le droit applicable au lieu où il est établi ou a son siège et, le cas échéant, qu'il est autorisé à la pratiquer selon ce droit (art. 2 al. 1 LMI). Si l'offreur externe a établi son droit à satisfaction, l'autorité ne peut s'y opposer, sauf à démontrer que la restriction envisagée est justifiée à la lumière de l'art. 3 LMI. L'autorité doit d'abord établir qu'il existe un motif suffisant pour restreindre la liberté d'accès au marché. Elle n'y parvient que s'il existe un intérêt public prépondérant à la restriction (art. 3 al. 1 let. b et al. 2 LMI). L'autorité doit encore démontrer que l'intérêt public prépondérant n'a pas été suffisamment pris en compte par le droit du lieu d'établissement de l'offreur externe (art. 3 al. 3 let. a LMI). Ce n'est qu'à ce titre qu'il peut être dérogé au principe de primauté du droit d'établissement. Cette démonstration implique de renverser la présomption légale d'équivalence des réglementations cantonales et communales, consacrée à l'art. 2 al. 5 LMI. Il appartient à l'autorité du lieu de destination qui s'oppose à l'accès au marché d'un offreur externe de renverser la présomption légale d'équivalence entre la réglementation du lieu de provenance et la réglementation locale applicable, et non à l'offreur externe de démontrer l'équivalence entre les deux réglementations ( ATA/1039/2017 précité et les références citées). d. La chambre de céans a déjà eu l'occasion de retenir que des chauffeurs de taxis ou de limousine exerçant le transport professionnel de personnes ne pouvaient être considérés comme des offreurs externes au canton, alors qu'ils exerçaient leur métier sur le territoire genevois et y percevaient leurs revenus. Le fait de conduire un véhicule immatriculé dans un autre canton ou d'être titulaire d'une entreprise en raison individuelle dans un autre canton, tel que le canton de Vaud, ne pouvait être admis afin de se soustraire à la législation genevoise. Il en résultait que le défaut de dimension intercantonale exclut toute application de la LMI ( ATA/927/2019 du 21 mai 2019 ; ATA/403/2019 du 9 avril 2019 ; ATA/158/2019 et ATA/157/2019 du 19 février 2019 ; ATA/1315/2018 précité ; ATA/1212/2018 précité ; ATA/319/2018 du 10 avril 2018 consid. 9d).</w:t>
      </w:r>
    </w:p>
    <w:p>
      <w:r>
        <w:rPr>
          <w:b/>
        </w:rPr>
        <w:t>E. 7</w:t>
      </w:r>
    </w:p>
    <w:p>
      <w:r>
        <w:t>a. En l'espèce, il ressort du rapport du 12 mai 2017 que le recourant a été contrôlé le 22 avril 2017, en train de transporter des clients sur le territoire genevois, entre Versoix et la rue Voltaire, au moyen d'un véhicule immatriculé dans le canton de Vaud, sans être au bénéfice d'une carte professionnelle de chauffeur, ce qu'il ne conteste pas. Le recourant, domicilié à Genève, n'a pas démontré exercer l'essentiel de son activité à l'extérieur du canton. Le fait qu'il ait loué un véhicule immatriculé dans le canton de Vaud pour prendre en charge des clients à Genève, n'apparaît pas suffisant pour admettre le contraire et ne lui permet pas de contourner la législation du canton dans lequel il exerce son métier et perçoit ses revenus. Même s'il a allégué transporter des clients tant dans le canton de Vaud, où le véhicule qu'il utilise était immatriculé, que dans le canton de Genève, il n'a pas indiqué qu'il travaillait plus sur le territoire vaudois que sur le territoire genevois. Ainsi, il ne peut, dans ces circonstances, être considéré comme un offreur externe, de sorte que la LMI ne trouve pas application. Il est ainsi pleinement soumis à la législation genevoise, dont il ne respectait pas les conditions au moment des faits, en l'absence d'autorisation délivrée par le service. b. Enfin, le fait que l'intéressé invoque remplir les conditions d'octroi de la carte professionnelle de chauffeur de limousine prévues par l'art. 7 al. 2 aLTaxis ne saurait remplacer la détention de ladite carte comme condition de l'exercice de cette activité, conformément à l'art. 5 al. 1 aLTaxis, ce d'autant moins que, contrairement à ce que prescrit l'art. 7 al. 2 let. d aLTaxis, il n'a ni passé ni réussi les examens prévus par l'art. 27 aLTaxis, précisé par l'art. 38 aRTaxis. c. La décision entreprise sera dès lors confirmée en tant qu'elle retient que le recourant a contrevenu à la loi à une reprise en prenant en charge des clients à Genève alors qu'il n'était pas titulaire d'une carte professionnelle de chauffeur de taxi ou de limousine.</w:t>
      </w:r>
    </w:p>
    <w:p>
      <w:r>
        <w:rPr>
          <w:b/>
        </w:rPr>
        <w:t>E. 8</w:t>
      </w:r>
    </w:p>
    <w:p>
      <w:r>
        <w:t>a. Le département, soit pour lui le service (art. 1 al. 1 et 2 aRTaxis), peut infliger une amende administrative de CHF 100.- à CHF 20'000.- à toute personne ayant enfreint les prescriptions de l'aLTaxis ou de ses dispositions d'exécution (art. 45 al. 1 aLTaxis). b. L'administration doit faire preuve de sévérité afin d'assurer le respect de la loi et jouit d'un large pouvoir d'appréciation pour infliger une amende. La juridiction de céans ne la censure qu'en cas d'excès ou d'abus. L'amende doit également respecter le principe de la proportionnalité ( ATA/1212/2018 précité et la référence citée). c. L'autorité qui prononce une mesure administrative ayant le caractère d'une sanction doit également faire application des principes applicables à la fixation de la peine contenus aux art. 47 ss CP, en tenant compte de la culpabilité de l'auteur et en prenant en considération, notamment, les antécédents et la situation personnelle de ce dernier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ATA/1472/2017 du 14 novembre 2017). d. Le fait de prendre en charge des clients en se présentant comme un professionnel sans y être autorisé, constitue une infraction grave à l'aLTaxis, eu égard au but de cette loi, soit notamment d'assurer une exploitation des services de taxis et de limousines conforme aux exigences de la sécurité publique ( ATA/1212/2018 précité consid. 7f), ce qui est le cas en l'occurrence. e. En l'espèce, l'activité de chauffeur de limousine sans autorisation du recourant n'a eu lieu qu'à une seule reprise. De plus, ce dernier n'a pas d'antécédents. Quant à sa situation financière, les charges de famille auxquelles il doit faire face et le fait qu'il perçoive des prestations d'aide sociale permettent de la qualifier de précaire. En définitive, l'amende administrative doit être confirmée dans son principe mais sera toutefois réduite à CHF 100.-, pour tenir compte de l'ensemble des circonstances susvisées.</w:t>
      </w:r>
    </w:p>
    <w:p>
      <w:r>
        <w:rPr>
          <w:b/>
        </w:rPr>
        <w:t>E. 9</w:t>
      </w:r>
    </w:p>
    <w:p>
      <w:r>
        <w:t>Au vu de ce qui précède, le recours sera partiellement admis et la décision querellée réformée (art. 69 al. 3 1 ère phr. LPA) en ce sens que le montant de l'amende administrative sera réduit à CHF 100.-, et confirmée pour le surplus.</w:t>
      </w:r>
    </w:p>
    <w:p>
      <w:r>
        <w:rPr>
          <w:b/>
        </w:rPr>
        <w:t>E. 10</w:t>
      </w:r>
    </w:p>
    <w:p>
      <w:r>
        <w:t>Vu l'issue du litige et les circonstances particulières actuelles, il ne sera pas perçu d'émolument (art. 87 al. 1 LPA). Une indemnité de procédure, réduite, de CHF 300.-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