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A/4313/2020 vom 27. April 2022</w:t>
      </w:r>
    </w:p>
    <w:p>
      <w:r>
        <w:t>GE Cour de justice, 2022-04-27, FR</w:t>
      </w:r>
    </w:p>
    <w:p>
      <w:r>
        <w:rPr>
          <w:b/>
        </w:rPr>
        <w:t xml:space="preserve">Quelle: </w:t>
      </w:r>
      <w:r>
        <w:t>https://mcp.opencaselaw.ch/entscheid/ge_gerichte_A_4313_2020</w:t>
      </w:r>
    </w:p>
    <w:p>
      <w:r>
        <w:t>FR: GE_GERICHTE A/4313/2020 du 27 avril 2022</w:t>
      </w:r>
    </w:p>
    <w:p>
      <w:r>
        <w:t>IT: GE_GERICHTE A/4313/2020 del 27 aprile 2022</w:t>
      </w:r>
    </w:p>
    <w:p>
      <w:pPr>
        <w:pStyle w:val="Heading2"/>
      </w:pPr>
      <w:r>
        <w:t>Erwägungen</w:t>
      </w:r>
    </w:p>
    <w:p>
      <w:r>
        <w:rPr>
          <w:b/>
        </w:rPr>
        <w:t>E. 4</w:t>
      </w:r>
    </w:p>
    <w:p>
      <w:r>
        <w:t>Le litige porte sur le bien-fondé de la prise en compte d’un gain potentiel à 100% pour l’intéressée dans le calcul du droit aux prestations complémentaires du recourant du 1 er février au 31 juillet 2020.![endif]&gt;![if&gt;</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w:t>
      </w:r>
    </w:p>
    <w:p>
      <w:r>
        <w:rPr>
          <w:b/>
        </w:rPr>
        <w:t>E. 4.2</w:t>
      </w:r>
    </w:p>
    <w:p>
      <w:r>
        <w:t>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Selon le ch. 3424.07 des directives concernant les prestations complémentaires à l'AVS et à l'AI (DPC – état au 1 er janvier 2017), aucun revenu hypothétique n’est pris en compte chez le bénéficiaire de prestations complémentaire : -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 quantitativement ; ![endif]&gt;![if&gt; -      lorsqu’il touche des allocations de chômage ; ![endif]&gt;![if&gt; -      s’il est établi que sans la présence continue de l’assuré à ses côtés, l’autre conjoint devrait être placé dans un home ou un établissement hospitalier.![endif]&gt;![if&gt;</w:t>
      </w:r>
    </w:p>
    <w:p>
      <w:r>
        <w:rPr>
          <w:b/>
        </w:rPr>
        <w:t>E. 4.3</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![endif]&gt;![if&gt;</w:t>
      </w:r>
    </w:p>
    <w:p>
      <w:r>
        <w:rPr>
          <w:b/>
        </w:rPr>
        <w:t>E. 5.1.1</w:t>
      </w:r>
    </w:p>
    <w:p>
      <w:r>
        <w:t>En l’espèce, le recourant a fait valoir à l’appui de son recours que son épouse avait des problèmes de santé qui l’empêchaient d’être apte au travail à 100% et qu’elle ne pouvait pas trouver une activité adaptée tenant compte de ses limitations fonctionnelles, raison pour laquelle elle avait déposé une nouvelle demande de prestations de l’assurance-invalidité, qui était en cours d’examen.</w:t>
      </w:r>
    </w:p>
    <w:p>
      <w:r>
        <w:rPr>
          <w:b/>
        </w:rPr>
        <w:t>E. 5.1.2</w:t>
      </w:r>
    </w:p>
    <w:p>
      <w:r>
        <w:t>L’intimé considère que les pièces au dossier n’ont pas suffisamment de force probante pour exclure la prise en compte d’un gain potentiel pour l’intéressée à 100% pendant la période en cause, relevant en particulier que les rapports médicaux n’indiquaient pas les raisons pour lesquelles une activité à 100% adaptée aux limitations de l’intéressée ne pourrait pas être envisagée. Il a encore fait valoir que la demande de prestations de l’assurance-invalidité du 9 septembre 2020 était postérieure à la période litigieuse, qui courait du 1 er février au 31 juillet 2020, étant relevé que l’intéressée avait déjà reçu un refus de rente d’invalidité en mars 2018. L’intimé a précisé qu’il apporterait rétroactivement les ajustements nécessaires aux prestations complémentaires, lorsque l’OAI se serait prononcé sur la demande AI de l’intéressée.</w:t>
      </w:r>
    </w:p>
    <w:p>
      <w:r>
        <w:rPr>
          <w:b/>
        </w:rPr>
        <w:t>E. 5.2</w:t>
      </w:r>
    </w:p>
    <w:p>
      <w:r>
        <w:t>La chambre de céans constate que dans son opposition du 10 août 2020, le bénéficiaire ne s’est pas prévalu d’une aggravation de l’état de santé de son épouse pour contester le gain potentiel pris en compte pour celle-ci. Il a transmis, le 14 septembre 2020, à l’intimé un accusé de réception de l’OAI d’une nouvelle demande de prestations accompagné d’un certificat médical établi le 13 août 2020 par le Dr D______, qui attestait d’une capacité de travail de 0% entre le 1 er et le 31 août 2020. Pour autant que l’on puisse considérer que le bénéficiaire se prévalait ainsi d’une aggravation de l’état de santé de son épouse, cette aggravation daterait du 1 er août 2020, selon les pièces produites, donc après la période visée par la décision litigieuse, comme l’a relevé l’intimé. Il ressort en outre du rapport établi le 4 septembre 2021 par le Dr D______ que l’état de santé de l’intéressée pourrait s’être aggravé suite à un tentamen de sa fille en août 2021, ce qui n’est pas déterminant en l’espèce, puisque la décision querellée ne concerne que la période de février au 31 juillet 2020. Il ressort du rapport de la Dresse E______ du 6 octobre 2020 que l’intéressée était suivie par celle-ci depuis le 9 septembre 2019 et qu’elle présentait « actuellement » une aggravation de la symptomatologie anxio-dépressive dans un contexte de troubles somatoformes douloureux. Ce rapport ne permet pas non plus de rendre vraisemblable une aggravation de l’état de santé de l’intéressée pendant la période en cause, dès lors qu’elle évoquait une aggravation « actuelle », soit en octobre 2020, date du rapport. En conclusion, c’est à juste titre que l’intimé a considéré dans la décision litigieuse que l’intéressée était capable de travailler à 100% dans une activité adaptée du 1 er février au 31 juillet 2020.</w:t>
      </w:r>
    </w:p>
    <w:p>
      <w:r>
        <w:rPr>
          <w:b/>
        </w:rPr>
        <w:t>E. 6</w:t>
      </w:r>
    </w:p>
    <w:p>
      <w:r>
        <w:t>Reste à déterminer si la recourante a eu la possibilité de mettre en valeur sa capacité de gain sur le marché de l'emploi, plus particulièrement si elle a suffisamment démontré avoir cherché du travail pendant cette période. ![endif]&gt;![if&gt;</w:t>
      </w:r>
    </w:p>
    <w:p>
      <w:r>
        <w:rPr>
          <w:b/>
        </w:rPr>
        <w:t>E. 6.1</w:t>
      </w:r>
    </w:p>
    <w:p>
      <w:r>
        <w:t>Tel est le cas pour le mois de février pour une activité à 50%, dès lors que le dossier contient un formulaire de preuves de recherches personnelles d’emploi faisant état de 15 recherches effectuées en février 2020 signé le 28 février 2020. Il en résulte que l’intimé devra corriger ses calculs pour ce mois et ne prendre en compte d’un demi-gain potentiel.</w:t>
      </w:r>
    </w:p>
    <w:p>
      <w:r>
        <w:rPr>
          <w:b/>
        </w:rPr>
        <w:t>E. 6.2</w:t>
      </w:r>
    </w:p>
    <w:p>
      <w:r>
        <w:t>En revanche, les formulaires de recherches d’emploi pour les mois de mars et d’avril à juillet 2020 figurant à la procédure ne sont pas probants, car ils ont été signés en septembre 2020 et que, selon les déclarations de l’intéressée à la chambre de céans, elle les a remplis de mémoire en septembre 2020, après avoir reçu des formulaires de recherches d’emploi après son inscription à l’OCE et qu’elle n’avait pas d’autres moyens de preuve à produire à ce sujet. Le témoignage du recourant à cet égard ne suffit pas à attester des recherches d’emploi de son épouse, vu les liens qui les unissent et son intérêt direct à ce que ces recherches soient déclarées probantes.</w:t>
      </w:r>
    </w:p>
    <w:p>
      <w:r>
        <w:rPr>
          <w:b/>
        </w:rPr>
        <w:t>E. 6.3</w:t>
      </w:r>
    </w:p>
    <w:p>
      <w:r>
        <w:t>Il convient encore de prendre acte du fait que l’intimé a accepté renoncer à la prise en compte d’un revenu hypothétique pour l’intéressée pour les mois de mars et avril 2021, afin de tenir compte de ces circonstances particulières liées à la pandémie. Il en résulte que l’intimé devra également reprendre son calcul pour ces mois en supprimant le gain potentiel pour l’intéressée.</w:t>
      </w:r>
    </w:p>
    <w:p>
      <w:r>
        <w:rPr>
          <w:b/>
        </w:rPr>
        <w:t>E. 7</w:t>
      </w:r>
    </w:p>
    <w:p>
      <w:r>
        <w:t>Le recours est ainsi partiellement fondé. La décision sur opposition du 4 décembre 2020 sera en conséquence annulée et la cause renvoyée à l’intimé pour nouvelle décision prenant en compte un gain potentiel à 50% pour le mois de février 2020 et à 0% pour les mois de mars et avril 2020.![endif]&gt;![if&gt; Il ne sera pas alloué d’indemnité de procédure au recourant, qui n'est pas assisté d'un conseil et qui n’a pas fait valoir de frais engendrés par la procédure (art. 61 let. g LPGA). La procédure est gratuite (art. 61 let. a LPGA dans sa version applicable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