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A/430/2011 vom 1. April 2011</w:t>
      </w:r>
    </w:p>
    <w:p>
      <w:r>
        <w:t>GE Cour de justice, 2011-04-01, FR</w:t>
      </w:r>
    </w:p>
    <w:p>
      <w:r>
        <w:rPr>
          <w:b/>
        </w:rPr>
        <w:t xml:space="preserve">Quelle: </w:t>
      </w:r>
      <w:r>
        <w:t>https://mcp.opencaselaw.ch/entscheid/ge_gerichte_A_430_2011</w:t>
      </w:r>
    </w:p>
    <w:p>
      <w:r>
        <w:t>FR: GE_GERICHTE A/430/2011 du 1 avril 2011</w:t>
      </w:r>
    </w:p>
    <w:p>
      <w:r>
        <w:t>IT: GE_GERICHTE A/430/2011 del 1 aprile 2011</w:t>
      </w:r>
    </w:p>
    <w:p>
      <w:pPr>
        <w:pStyle w:val="Heading2"/>
      </w:pPr>
      <w:r>
        <w:t>Regeste</w:t>
      </w:r>
    </w:p>
    <w:p>
      <w:r>
        <w:t>Abus de droit admis. | LP.38.1 ; CC.2.2</w:t>
      </w:r>
    </w:p>
    <w:p>
      <w:pPr>
        <w:pStyle w:val="Heading2"/>
      </w:pPr>
      <w:r>
        <w:t>Erwägungen</w:t>
      </w:r>
    </w:p>
    <w:p>
      <w:r>
        <w:rPr>
          <w:b/>
        </w:rPr>
        <w:t>E. 1</w:t>
      </w:r>
    </w:p>
    <w:p>
      <w:r>
        <w:t>La présente plainte a été formée le 15 février 2011 auprès de l’Autorité de céans, compétente pour statuer sur une mesure de l'Office (un commandement de payer notifié le 12 février 2011) sujette à plainte (art. 17 LP; art. 125 al. 2 et 126 al. 2 litt. c) LOJ ; art. 6 al. 3, 7 al. 1 et 9 LaLP), par une personne, la débitrice poursuivie, ayant qualité pour agir par cette voie dans les dix jours après celui, soit le 12 février 2011, où elle a eu connaissance de la mesure attaquée (art. 17 al. 2 LP). Cette plainte sera donc déclarée recevable.</w:t>
      </w:r>
    </w:p>
    <w:p>
      <w:r>
        <w:rPr>
          <w:b/>
        </w:rPr>
        <w:t>E. 2</w:t>
      </w:r>
    </w:p>
    <w:p>
      <w:r>
        <w:t>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Commet ainsi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l'Autorité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du droit de l’exécution forcée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Dans un arrêt non publié du 28 juillet 2006 ( 7B.45/2006 ), le Tribunal fédéral a confirmé la décision de l'autorité supérieure de surveillance du canton de Vaud laquelle avait considéré que les conditions très restrictives posées par la jurisprudence pour l'annulation d'un commandement de payer n'étaient manifestement pas remplies, les poursuivants n'ayant notamment pas agi dans le but de nuire au poursuivi dans la mesure où ils lui avaient proposé de signer une déclaration de renonciation à la prescription et qu'ils avaient agi de la même manière à l'égard d'autres personnes dont la responsabilité pourrait être engagée.</w:t>
      </w:r>
    </w:p>
    <w:p>
      <w:r>
        <w:rPr>
          <w:b/>
        </w:rPr>
        <w:t>E. 2.1</w:t>
      </w:r>
    </w:p>
    <w:p>
      <w:r>
        <w:t>les autorités de poursuite ne peuvent se substituer au juge ordinaire pour évaluer le bien fondé de la prétention poursuivie et elles ne doivent admettre l’existence d’un abus manifeste de droit que sur la base d’éléments ou d’un ensemble d’indices convergents démontrant de façon patente que l'institution du droit de l’exécution forcée est détournée de sa finalité. L'Autorité de céans est toutefois d'avis, au vu des indices convergents discutés ci-dessus, que la poursuite litigieuse - notifiée à la plaignante, d'une part, à titre de représailles annoncées et, d'autre part, sans être fondée, en l'état du dossier, sur des éléments un tant soit peu concrets d'une atteinte potentielle alléguée au crédit professionnel du cité - constitue, comme déjà dit, un abus manifeste de droit, qui sera sanctionnée par la nullité de cette poursuite. Cela ne signifie toutefois pas qu'à l'avenir, selon la tournure de la procédure que la plaignante devrait initier à son encontre, une telle atteinte indue au crédit professionnel du cité ne puisse survenir et donner lieu à une nouvelle poursuite, légitime dans cette hypothèse.</w:t>
      </w:r>
    </w:p>
    <w:p>
      <w:r>
        <w:rPr>
          <w:b/>
        </w:rPr>
        <w:t>E. 2.2</w:t>
      </w:r>
    </w:p>
    <w:p>
      <w:r>
        <w:t>En l'espèce, le cité fait valoir, en substance, dans ses observations au sujet de la présente plainte, que la plaignante, d'abord a cherché à faire pression sur lui en le menaçant d'une poursuite, puis en lui notifiant effectivement une poursuite abusive, a cherché à porter atteinte à sa réputation professionnelle. S'il ne conteste, en effet, pas que cette poursuite était destinée à interrompre la prescription des prétentions de la plaignante à son égard, il prétend qu'elle était abusive en raison de l'inanité desdites prétentions, de nature à ternir sa réputation professionnelle. C'est en vue de la réparation de son préjudice dû à cette atteinte potentielle abusive à son crédit professionnel qu'il lui a fait notifier à son tour la poursuite faisant l'objet de la présente plainte. Il découle de ce qui précède qu'il y a lieu, avant de statuer sur la présente plainte, de déterminer si la poursuite de la plaignante à l'encontre du cité a été constitutive d'un abus de droit, contre lequel ledit cité aurait été en droit de se défendre.</w:t>
      </w:r>
    </w:p>
    <w:p>
      <w:r>
        <w:rPr>
          <w:b/>
        </w:rPr>
        <w:t>E. 2.2.1</w:t>
      </w:r>
    </w:p>
    <w:p>
      <w:r>
        <w:t>Il apparaît toutefois que la poursuite de la plaignante ne procède d'aucun abus de droit, en tant qu'elle a été clairement été notifiée au cité, non pas pour porter atteinte à sa réputation et à son crédit professionnels comme il l'allègue, mais dans le seul but d'interrompre la prescription des prétentions alléguées de ladite plaignante à son égard. Le cité ne le conteste d'ailleurs pas, tout comme il admet que la plaignante l'a clairement averti du fait qu'elle se verrait obligée de lui faire notifier un commandement de payer interruptif de prescription s'il persistait dans son refus de renoncer, à fin 2010, à invoquer cette prescription, après une première renonciation volontaire consentie une année auparavant. Le cité qualifie en outre à tort cet avertissement de tentative de contrainte. En effet, la notification d’un commandement de payer représente un moyen légal, au sens de l'art. 135 CO, pour interrompre la prescription, une réquisition de poursuite pouvant donc poursuivre uniquement cette fin qui est légitime à elle seule, y compris lorsque le créancier poursuivant, comme c'est le cas en l'espèce, ne dispose d’aucun titre de mainlevée A cela s'ajoute qu'en l'espèce, cette interruption de la prescription permettra précisément à la plaignante de disposer du temps nécessaire pour saisir le juge ordinaire en vue de faire reconnaître le bien-fondé de ses prétentions alléguées contre le cité, que celui-ci conteste, et de disposer cas échéant, d'un titre de mainlevée, de sorte que, sous cet angle également, cette poursuite n'est pas abusive.</w:t>
      </w:r>
    </w:p>
    <w:p>
      <w:r>
        <w:rPr>
          <w:b/>
        </w:rPr>
        <w:t>E. 2.2.2</w:t>
      </w:r>
    </w:p>
    <w:p>
      <w:r>
        <w:t>Ce qui précède étant précisé, il apparaît corollairement que la poursuite requise par le cité à l'encontre de la plaignante est constitutive d'un abus de droit. En effet, le cité n'a pas fait état, préalablement à cette poursuite légitime et à l'occasion des nombreux et vifs échanges de correspondance entre leurs conseils, d'une quelconque atteinte redoutée à son crédit du fait de la poursuite diligentée par la plaignante à son encontre, de sorte que l'on peut admettre qu'il a utilisé cet argument comme prétexte pour justifier ladite poursuite. Ce qui précède est conforté par le fait que le cité ne fait pas partir les intérêts de la somme réclamée à la plaignante à la date de départ de son dommage potentiel allégué, qui ne peut être antérieure à celle de la notification, le 21 janvier 2011, de la poursuite requise à son encontre par la plaignante. Il fait en effet, et de manière a priori incompréhensible, partir ces intérêts dès la même date que celle retenue par ladite plaignante en relation avec son propre dommage résultant des interventions chirurgicales incriminées, dont elle situe le point de départ au 30 septembre 1999, date à laquelle le crédit professionnel du cité ne pouvait en aucun cas être entamé par une poursuite notifiée plus de douze ans plus tard, courant janvier 2011. C'est sans compter que le montant réclamé par le cité à la plaignante est strictement identique aux prétentions de cette dernière à son encontre, ce qui est de nature à faire admettre que la poursuite du cité se voulait bien une mesure de représailles à l'encontre de ladite plaignante et ce qui enlève à cette poursuite le caractère incompréhensible précité de certains de ses éléments déterminants. Cette mesure de rétorsion lui avait d'ailleurs été clairement annoncée par le cité, qui lui avait promis, en réponse immédiate, cas échéant, à la notification du commandement de payer interruptif de prescription envisagé en automne 2010 par la plaignante, la notification « symétrique d'un commandement de payer à hauteur du même montant» . Cette réponse immédiate annoncée, qui a été effectivement "symétrique" en terme de capital et d'intérêts réclamés par la poursuite litigieuse, sans correspondre, et pour cause, au moins pour ces intérêts, à une prétention plausible du cité envers la plaignante, ne s'est, de surcroît, pas fait attendre, puisque le cité a déposé sa réquisition à l'Office quatre jours seulement après s'être vu notifier le commandement de payer interruptif de prescription à la requête de ladite plaignante. Certes, comme rappelé ci-dessus sous ch.</w:t>
      </w:r>
    </w:p>
    <w:p>
      <w:r>
        <w:rPr>
          <w:b/>
        </w:rPr>
        <w:t>E. 3</w:t>
      </w:r>
    </w:p>
    <w:p>
      <w:r>
        <w:t>Il n'est pas perçu de dépens (art. 62 al. 2 OELP). * * * * * PAR CES MOTIFS, L'Autorité de surveillance : A la forme : Déclare recevable la plainte formée le 15 février 2011 par Mme J______ conter la poursuite n° 11 xxxx22 L requise le 25 janvier 2011 par M______. Au fond : Admet cette plainte. Constate en conséquence la nullité de la poursuite n° 11 xxxx22 L. Siégeant : Madame Valérie LAEMMEL-JUILLARD, présidente ; Messieurs Philipp GANZONI et Christian CHAVAZ, juges assesseurs ; Madame Véronique PISCETTA, greffière. La présidente : Valérie LAEMMEL-JUILLARD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