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A/430/2006 vom 14. Juni 2006</w:t>
      </w:r>
    </w:p>
    <w:p>
      <w:r>
        <w:t>GE Cour de justice, 2006-06-14, FR</w:t>
      </w:r>
    </w:p>
    <w:p>
      <w:r>
        <w:rPr>
          <w:b/>
        </w:rPr>
        <w:t xml:space="preserve">Quelle: </w:t>
      </w:r>
      <w:r>
        <w:t>https://mcp.opencaselaw.ch/entscheid/ge_gerichte_A_430_2006</w:t>
      </w:r>
    </w:p>
    <w:p>
      <w:r>
        <w:t>FR: GE_GERICHTE A/430/2006 du 14 juin 2006</w:t>
      </w:r>
    </w:p>
    <w:p>
      <w:r>
        <w:t>IT: GE_GERICHTE A/430/2006 del 14 giugno 2006</w:t>
      </w:r>
    </w:p>
    <w:p>
      <w:pPr>
        <w:pStyle w:val="Heading2"/>
      </w:pPr>
      <w:r>
        <w:t>Erwägungen</w:t>
      </w:r>
    </w:p>
    <w:p>
      <w:r>
        <w:rPr>
          <w:b/>
        </w:rPr>
        <w:t>E. 3</w:t>
      </w:r>
    </w:p>
    <w:p>
      <w:r>
        <w:t>Chacun doit respecter les signaux et les marques et en particulier les signaux fixant une vitesse maximale (art. 27 al. 1 LCR; art. 16 et 22 de l'ordonnance sur la signalisation routière du 5 septembre 1979 - OSR - RS 741.21; ATF 108 IV 62 ).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 A.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a été de 36 km/h, après déduction de la marge de sécurité. Il s’agit d’une infraction saisie par l’article 16c alinéa 1 lettre a LCR, qui implique un retrait obligatoire du permis de conduire.</w:t>
      </w:r>
    </w:p>
    <w:p>
      <w:r>
        <w:rPr>
          <w:b/>
        </w:rPr>
        <w:t>E. 4</w:t>
      </w:r>
    </w:p>
    <w:p>
      <w:r>
        <w:t>Pour fixer la durée du retrait, divers facteurs doivent être pris en considération, notamment l’atteinte à la sécurité routière, la gravité de la faute, les antécédents en tant que conducteur ainsi que la nécessité professionnelle de conduire un véhicule automobile. La durée minimale du retrait ne peut toutefois être réduite. Après une infraction grave, le permis de conduire est retiré pendant trois mois au minimum lorsque le conducteur n’a pas d’antécédent (art. 16c al. 2 let. a LCR). En l’espèce, le SAN a prononcé un retrait de six mois, en se fondant sur la gravité des deux infractions reprochées au recourant et sur l’antécédent. Le Tribunal administratif relèvera qu’en ce qui concerne l’infraction contestée du 17 novembre 2005, le SAN a indiqué, lors de la comparution personnelle des parties, que même si le recourant s’était rendu coupable seulement de l’excès de vitesse du 5 avril 2005, la durée du retrait aurait été de six mois en raison de la récidive.</w:t>
      </w:r>
    </w:p>
    <w:p>
      <w:r>
        <w:rPr>
          <w:b/>
        </w:rPr>
        <w:t>E. 5</w:t>
      </w:r>
    </w:p>
    <w:p>
      <w:r>
        <w:t>La décision du SAN étant strictement conforme à la jurisprudence précitée et au minimum légal prescrit par l'article 17 alinéa 1 lettre c LCR en cas de récidive, elle ne peut être que confirmée.</w:t>
      </w:r>
    </w:p>
    <w:p>
      <w:r>
        <w:rPr>
          <w:b/>
        </w:rPr>
        <w:t>E. 6</w:t>
      </w:r>
    </w:p>
    <w:p>
      <w:r>
        <w:t>Le recours sera donc rejeté. Vu l'issue du litige, un émolument de CHF 400.-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