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A/4309/2018 vom 6. Februar 2019</w:t>
      </w:r>
    </w:p>
    <w:p>
      <w:r>
        <w:t>GE Cour de justice, 2019-02-06, FR</w:t>
      </w:r>
    </w:p>
    <w:p>
      <w:r>
        <w:rPr>
          <w:b/>
        </w:rPr>
        <w:t xml:space="preserve">Quelle: </w:t>
      </w:r>
      <w:r>
        <w:t>https://mcp.opencaselaw.ch/entscheid/ge_gerichte_A_4309_2018</w:t>
      </w:r>
    </w:p>
    <w:p>
      <w:r>
        <w:t>FR: GE_GERICHTE A/4309/2018 du 6 février 2019</w:t>
      </w:r>
    </w:p>
    <w:p>
      <w:r>
        <w:t>IT: GE_GERICHTE A/4309/2018 del 6 febbraio 2019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06.02.2019 A/4309/2018</w:t>
      </w:r>
    </w:p>
    <w:p>
      <w:r>
        <w:t>A/4309/2018 ATAS/88/2019 du 06.02.2019 ( LPP ) , RETIRE rÉpublique et canton de genÈve POUVOIR JUDICIAIRE A/4309/2018 ATAS/88/2019 COUR DE JUSTICE Chambre des assurances sociales Arrêt du 6 février 2019 4 ème Chambre En la cause Madame A______, domiciliée à CÉLIGNY, comparant avec élection de domicile en l'étude de Maître Hervé CRAUSAZ demanderesse contre FONDATION DE LIBRE PASSGE SWISS LIFE, p.a. SWISS LIFE AG, sise General-Guisan-Quai 40, ZÜRICH défenderesse Vu la demande formée le 10 décembre 2018 par Madame A______, par l’intermédiaire de son conseil, à l’encontre de la fondation de libre passage Swiss Life ; Attendu que par courrier du 24 janvier 2019, la demanderesse a retiré sa demande ; Qu'il convient d'en prendre acte et de rayer la cause du rôle. PAR CES MOTIFS, LA CHAMBRE DES ASSURANCES SOCIALES : 1.        Prend acte du retrait de la demande.![endif]&gt;![if&gt; 2.        Raye la cause du rôle.![endif]&gt;![if&gt; La greffière Isabelle CASTILLO La présidente Catherine TAPPONNIER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