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A/4300/2023 vom 28. März 2024</w:t>
      </w:r>
    </w:p>
    <w:p>
      <w:r>
        <w:t>GE Cour de justice, 2024-03-28, FR</w:t>
      </w:r>
    </w:p>
    <w:p>
      <w:r>
        <w:rPr>
          <w:b/>
        </w:rPr>
        <w:t xml:space="preserve">Quelle: </w:t>
      </w:r>
      <w:r>
        <w:t>https://mcp.opencaselaw.ch/entscheid/ge_gerichte_A_4300_2023</w:t>
      </w:r>
    </w:p>
    <w:p>
      <w:r>
        <w:t>FR: GE_GERICHTE A/4300/2023 du 28 mars 2024</w:t>
      </w:r>
    </w:p>
    <w:p>
      <w:r>
        <w:t>IT: GE_GERICHTE A/4300/2023 del 28 marzo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 arrêts du Tribunal fédéral des assurances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w:t>
      </w:r>
    </w:p>
    <w:p>
      <w:r>
        <w:rPr>
          <w:b/>
        </w:rPr>
        <w:t>E. 4.1</w:t>
      </w:r>
    </w:p>
    <w:p>
      <w:r>
        <w:t>À titre d’exemple, un déni de justice a été admis par la chambre de céans ou antérieurement par le tribunal cantonal des assurances sociales dans un cas où : -     la décision de l’office de l’assurance-invalidité (ci-après :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     l’OAI avait attendu quatorze mois depuis l’opposition de l’assuré au projet pour mettre en œuvre une expertise multidisciplinaire à laquelle l’assuré avait conclu d’emblée ( ATAS/484/2007 du 9 mai 2007) ; -     aucune décision n’avait été rendue dans un délai de plus quinze mois depuis la date du rapport d’expertise, alors que la demande de précision faite au service médical régional (ci-après : SMR) au sujet de la divergence entre celui-ci et l’expert quant à la capacité de travail du recourant aurait pu être formée plus de six mois auparavant et que le SMR n’avait répondu qu’au bout de huit mois ( ATAS/788/2018 du 10 septembre 2018) ; -     l’OAI avait ordonné un complément d’expertise 17 mois après avoir obtenu les renseignements des médecins traitants ( ATAS/860/2006 du 2 octobre 2006) ; -     une nouvelle décision avait été rendue 18 mois après que la cause ait été renvoyée à l’office à la suite de l’admission partielle du recours (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     un recourant qui était sans nouvelle de l’OAI 21 mois après le dépôt d’une demande de révision ( ATAS/860/2006 du 2 octobre 2006)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 ATAS/264/2014 du 5 mars 2014).</w:t>
      </w:r>
    </w:p>
    <w:p>
      <w:r>
        <w:rPr>
          <w:b/>
        </w:rPr>
        <w:t>E. 4.2</w:t>
      </w:r>
    </w:p>
    <w:p>
      <w:r>
        <w:t>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5A_8/2000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20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     un tribunal cantonal avait laissé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     une cause était pendante depuis 33 mois et en état d'être jugée depuis 27 mois (ATF 125 V 373 ).</w:t>
      </w:r>
    </w:p>
    <w:p>
      <w:r>
        <w:rPr>
          <w:b/>
        </w:rPr>
        <w:t>E. 4.3</w:t>
      </w:r>
    </w:p>
    <w:p>
      <w:r>
        <w:t>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 ATAS/942/2014 du 27 août 2014). En revanche, elle a considéré que le délai de douze semaines entre la rédaction de l'avis du SMR et l'inscription effective de l'intéressé sur la plateforme informatique SuisseMED@P peut apparaître comme long mais n’est pas excessif ( ATAS/93/2018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 désigné n’était encore intervenue dix mois après que l’OAI ait informé l’assurée de la mise en œuvre d’une expertise médicale pluridisciplinaire car l’introduction du mandat dans le système SuisseMED@P avait été effectué moins de dix jours après la communication à la recourante. Si un délai de près d’une année pour l’attribution d’un mandat par le biais de cette plateforme apparaissait excessif, ce retard n’était pas imputable à l’intimé ( ATAS/237/2014 du 26 février 2014).</w:t>
      </w:r>
    </w:p>
    <w:p>
      <w:r>
        <w:rPr>
          <w:b/>
        </w:rPr>
        <w:t>E. 5</w:t>
      </w:r>
    </w:p>
    <w:p>
      <w:r>
        <w:t>En l’espèce, la recourante reproche au SPC d’avoir refusé de lui payer la totalité des frais en lien avec son assurance-maladie, tout en mentionnant que « pour toute réponse ils [le SPC] m’ont renvoyé pour la 2 ème fois leur décision de paiements qui ne couvre pas les frais que je réclame ».</w:t>
      </w:r>
    </w:p>
    <w:p>
      <w:r>
        <w:rPr>
          <w:b/>
        </w:rPr>
        <w:t>E. 5.1</w:t>
      </w:r>
    </w:p>
    <w:p>
      <w:r>
        <w:t>Il ressort de ce qui précède, que la recourante ne se plaint pas de déni de justice, car elle a reçu des décisions de paiement, mais conteste le fait de n'avoir pas été remboursée intégralement, à hauteur des demandes de remboursement qu’elle a adressées au SPC. Il ne s’agit donc pas d’un cas de déni de justice mais bien plutôt d’un cas de prétendue erreur, dans le montant devant lui être remboursé par le SPC. Cela est confirmé dans la réplique de la recourante, datée du 19 février 2024, cette dernière listant un certain nombre de paiements qu’elle a reçus du SPC mais se plaignant du fait qu’elle n’arrive pas à relier ces paiements avec les « décomptes non payés à ce jour ». Il s’ensuit que la recourante a obtenu des décisions de remboursement et que des sommes lui ont été versées par le SPC en remboursement de ses demandes mais qu’elle ne parvient pas à établir le lien entre les sommes versées et les demandes de remboursement qu’elle a adressées au SPC. Dans le cadre de l’examen d’un déni de justice, il n’appartient pas à la chambre de céans d’examiner la corrélation entre les demandes de remboursement de la recourante et les versements effectués par le SPC. Le cadre d’une action en déni de justice est clairement circonscrit par la loi et la jurisprudence ; il s’agit de déterminer si la recourante a fait l’objet, dans un délai raisonnable, d’une décision de la part de l’autorité.</w:t>
      </w:r>
    </w:p>
    <w:p>
      <w:r>
        <w:rPr>
          <w:b/>
        </w:rPr>
        <w:t>E. 5.2</w:t>
      </w:r>
    </w:p>
    <w:p>
      <w:r>
        <w:t>Selon les pièces fournies par la recourante, cette dernière a reçu, de la part du SPC, les décisions de remboursement de frais de maladie suivantes : -     décision du 15 juin 2023, pour une participation de CHF 114.20 -     décision du 8 novembre 2022, pour une participation de CHF 49.20 -     décision du 16 septembre 2022, pour une participation de CHF 71.40 -     décision du 27 juillet 2022, pour une participation de CHF 249.60 -     décision du 11 juillet 2022, pour une participation de CHF 345.25 Compte tenu de ces éléments, il est établi au degré de la vraisemblance prépondérante, que le SPC a rendu des décisions de remboursement des frais de maladie, pour l’année 2022, contrairement à ce qu’allègue la recourante. Cette dernière n’a pas été en mesure de produire une demande de remboursement qui n’aurait pas fait l’objet d’une décision de la part du SPC, pour l’année 2022.</w:t>
      </w:r>
    </w:p>
    <w:p>
      <w:r>
        <w:rPr>
          <w:b/>
        </w:rPr>
        <w:t>E. 5.3</w:t>
      </w:r>
    </w:p>
    <w:p>
      <w:r>
        <w:t>S’agissant du grief concernant le manque de clarté du SPC quant aux prestations de remboursement, il sied de constater que, contrairement à ce qu’allègue la recourante, chacune des « décisions de frais de maladie » rendue par le SPC comprend, au verso, un récapitulatif des frais enregistrés, ce qui permet, sur la base du montant présenté par l’assurée et du montant total remboursé, qui sont tous les deux mentionnés dans le récapitulatif, d’établir le lien entre le montant de la demande de remboursement de la recourante et le montant du remboursement effectué par le SPC. La recourante ne peut pas demander que chacun des montants dont elle demande le remboursement fasse, individuellement, l’objet d’une décision, ce qui aurait pour effet d’augmenter de façon disproportionnée les frais de traitement du SPC. Ce dernier rend donc régulièrement des décisions, qui peuvent concerner plusieurs demandes de remboursement additionnées. Ainsi, au moment de la réception du paiement sur son compte bancaire, la recourante peut établir le lien entre le montant versé et celui mentionné dans la décision de frais de maladie, puis, pour le détail, se référer au récapitulatif figurant au verso de la décision de frais de maladie ; elle peut ainsi comparer les montants effectivement remboursés, avec les décomptes de frais dont elle a demandé le remboursement.</w:t>
      </w:r>
    </w:p>
    <w:p>
      <w:r>
        <w:rPr>
          <w:b/>
        </w:rPr>
        <w:t>E. 6</w:t>
      </w:r>
    </w:p>
    <w:p>
      <w:r>
        <w:t>Au vu de ce qui précède, le recours sera rejeté.</w:t>
      </w:r>
    </w:p>
    <w:p>
      <w:r>
        <w:rPr>
          <w:b/>
        </w:rPr>
        <w:t>E. 7</w:t>
      </w:r>
    </w:p>
    <w:p>
      <w:r>
        <w:t>Pour le surplus, en l’absence de loi spéciale prévoyant des frais judiciaires, la procédure est gratuite (art. 61 let. fbis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