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A/42/2018 vom 25. Januar 2018</w:t>
      </w:r>
    </w:p>
    <w:p>
      <w:r>
        <w:t>GE Cour de justice, 2018-01-25, FR</w:t>
      </w:r>
    </w:p>
    <w:p>
      <w:r>
        <w:rPr>
          <w:b/>
        </w:rPr>
        <w:t xml:space="preserve">Quelle: </w:t>
      </w:r>
      <w:r>
        <w:t>https://mcp.opencaselaw.ch/entscheid/ge_gerichte_A_42_2018</w:t>
      </w:r>
    </w:p>
    <w:p>
      <w:r>
        <w:t>FR: GE_GERICHTE A/42/2018 du 25 janvier 2018</w:t>
      </w:r>
    </w:p>
    <w:p>
      <w:r>
        <w:t>IT: GE_GERICHTE A/42/2018 del 25 gennaio 2018</w:t>
      </w:r>
    </w:p>
    <w:p>
      <w:pPr>
        <w:pStyle w:val="Heading2"/>
      </w:pPr>
      <w:r>
        <w:t>Erwägungen</w:t>
      </w:r>
    </w:p>
    <w:p>
      <w:r>
        <w:rPr>
          <w:b/>
        </w:rPr>
        <w:t>E. 1</w:t>
      </w:r>
    </w:p>
    <w:p>
      <w:r>
        <w:t>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À teneur de l’art. 21 LPA, l’autorité peut d’office ou sur requête ordonner des mesures provisionnelles en exigeant au besoin des sûretés (al. 1) ; ces mesures sont ordonnées par le président s’il s’agit d’une autorité collégiale ou d’une juridiction administrative (al. 2). 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Ainsi, dans la plupart des cas, les mesures provisionnelles consistent en un minus, soit une mesure moins importante ou incisive que celle demandée au fond, ou en un aliud, soit une mesure différente de celle demandée au fond.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 ATA/1125/2017 et les références citées). c.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Dans cette dernière hypothèse, seul l’octroi de mesures provisionnelles, aux conditions cependant restrictives de l’art. 21 LPA, est envisageable.</w:t>
      </w:r>
    </w:p>
    <w:p>
      <w:r>
        <w:rPr>
          <w:b/>
        </w:rPr>
        <w:t>E. 2</w:t>
      </w:r>
    </w:p>
    <w:p>
      <w:r>
        <w:t>En l’espèce, bien que la décision attaquée rejette une demande qui ne vise pas à créer des droits et obligations modifiant la situation factuelle et juridique antérieure mais qui tend essentiellement au maintien et au renouvellement, sous la nouvelle loi sur la restauration, le débit de boissons, l’hébergement et le divertissement du 19 mars 2015 (LRDBHD - I 2 22), de l’autorisation déjà existante sous l’ancienne LRDBH ( ATA/960/2016 du 14 novembre 2016, consid. 3), elle n’en prononce pas moins la révocation de l’autorisation précédemment octroyée, à savoir celle du 6 mai 2015. Ainsi, si l’effet suspensif n’était pas restitué ou que des mesures provisionnelles n’étaient pas ordonnées, le recourant n’aurait plus le droit d’exploiter son établissement. Il est en l’état difficile de se prononcer sur les chances du recours qui ne peut pas être considéré d’emblée comme manifestement mal fondé, la question centrale du litige consistant à examiner si les condamnations subies par le recourant justifient un refus d’une nouvelle autorisation et nécessitant un examen approfondi en fait et en droit. En outre, l’on ne voit pas quel motif imposerait la cessation immédiate de l’activité du recourant concernant l’établissement, ni en quoi l’ordre public (art. 1 al. 2 LRDBHD) ou la protection des consommateurs et des travailleurs (art. 1 al. 3 LRDBHD) serait menacé de manière imminente si M. A______ continuait l’exploitation de l’établissement litigieux. Au regard de ce qui précède, l’intérêt privé du recourant à la continuation de l’exploitation de l’établissement prime l’intérêt public à l’exécution immédiate de la décision querellée. L’exécution immédiate de la décision querellée serait susceptible d’avoir des effets négatifs importants sur la situation professionnelle et financière du recourant et de l’établissement, qui pourraient, le cas échéant, ne pas être entièrement réparés s’il obtenait finalement gain de cause au fond. Au surplus, il sera rappelé que dans sa détermination, le service intimé ne s’oppose pas à la restitution de l’effet suspensif.</w:t>
      </w:r>
    </w:p>
    <w:p>
      <w:r>
        <w:rPr>
          <w:b/>
        </w:rPr>
        <w:t>E. 3</w:t>
      </w:r>
    </w:p>
    <w:p>
      <w:r>
        <w:t>En définitive, le recourant sera, à titre provisoire, autorisé à continuer l’exploitation du café-restaurant à l’enseigne « B______» jusqu’à droit jugé au fond.</w:t>
      </w:r>
    </w:p>
    <w:p>
      <w:r>
        <w:rPr>
          <w:b/>
        </w:rPr>
        <w:t>E. 4</w:t>
      </w:r>
    </w:p>
    <w:p>
      <w:r>
        <w:t>Le sort des frais de la procédure sera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