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A/429/2025 vom 26. November 2025</w:t>
      </w:r>
    </w:p>
    <w:p>
      <w:r>
        <w:t>GE Cour de justice, 2025-11-26, FR</w:t>
      </w:r>
    </w:p>
    <w:p>
      <w:r>
        <w:rPr>
          <w:b/>
        </w:rPr>
        <w:t xml:space="preserve">Quelle: </w:t>
      </w:r>
      <w:r>
        <w:t>https://mcp.opencaselaw.ch/entscheid/ge_gerichte_A_429_2025</w:t>
      </w:r>
    </w:p>
    <w:p>
      <w:r>
        <w:t>FR: GE_GERICHTE A/429/2025 du 26 novembre 2025</w:t>
      </w:r>
    </w:p>
    <w:p>
      <w:r>
        <w:t>IT: GE_GERICHTE A/429/2025 del 26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1.2</w:t>
      </w:r>
    </w:p>
    <w:p>
      <w:r>
        <w:t>Interjeté en temps utile, le recours est recevable (art. 60 al. 1 LPGA).</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Le litige porte sur la question de savoir si les indemnités journalières qui ont été versées au recourant peuvent être réduites de moitié, au motif qu’il se serait exposé à un danger particulièrement grave sans prendre de mesures destinées à ramener celui-ci à des proportions raisonnables ou sans pouvoir prendre de telles mesures. Bien que la décision ne le précise pas expressément, il convient d’admettre qu’elle contient implicitement une décision de restitution des prestations indûment versées au recourant – question qui répond à des dispositions légales spécifiques que l’intimée n’a toutefois pas examinées –, dans la mesure où elle a adressé des factures de remboursement les 12 et 21 octobre 2024, suite à la décision précitée.</w:t>
      </w:r>
    </w:p>
    <w:p>
      <w:r>
        <w:rPr>
          <w:b/>
        </w:rPr>
        <w:t>E. 3.1</w:t>
      </w:r>
    </w:p>
    <w:p>
      <w:r>
        <w:t>L’art. 39 LAA dispose que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l'art. 133 du Code pénal. Selon la jurisprudence, pour admettre l'existence d'une telle participation, il suffit que l'assuré entre dans la zone de danger, notamment en participant à une dispute. Peu importe qu'il ait effectivement pris part activement aux faits ou qu'il ait ou non commis une faute : il faut au moins qu'il se soit rendu compte ou ait pu se rendre compte du danger. Ainsi, 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(arrêt du Tribunal fédéral 8C_532/2021 du 9 décembre 2021 consid. 3 ; ATF 107 V 234 consid. 2a ; 99 V 9 consid. 1). En revanche, il n'y a pas matière à réduction en cas de légitime défense ou plus généralement lorsque l'assuré se fait agresser physiquement, sans qu'il y ait eu au préalable une dispute, et qu'il frappe à son tour l'agresseur dans un mouvement réflexe de défense (arrêt du Tribunal fédéral 8C_702/2017 du 17 septembre 2018 consid. 3.1 et les arrêts cités, in SVR 2019 UV n. 16 p. 58).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consid. 4.5.1.2 p. 320). Il y a une interruption du rapport de causalité adéquate si une autre cause, qu'il s'agisse d'une force naturelle ou du comportement d'une autre personne, constitue une circonstance tout à fait exceptionnelle ou apparaît si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134 V 340 consid. 6.2 p. 349 ; 133 V 14 consid. 10.2 p. 23 s.). Par exemple, le Tribunal fédéral a jugé que lorsqu'un membre d'une famille (en l'espèce, la fille) entre dans la chambre d'un autre (en l'occurrence, le père) en insistant pour avoir une discussion orageuse, on ne pouvait s'attendre, selon le cours ordinaire des choses et l'expérience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134 V 189 consid. 4 ; 118 V 305 consid. 2a et les arrêts cités). Le juge des assurances sociales n'est lié par les constatations et l'appréciation du juge pénal ni en ce qui concerne la désignation des prescriptions enfreintes, ni quant à l'évaluation de la faute commise. Dans un arrêt du Tribunal fédéral 8C_702/2017 du 17 septembre 2018, un assuré s'était fait insulter par quatre jeunes hommes qui se trouvaient dans un véhicule et qui leur avait répondu « d’aller se faire foutre ». Le conducteur de la voiture était alors sorti, s'était dirigé vers lui et l'avait aussitôt frappé. L’assuré s’était défendu à l'aide d'un casque de moto qu'il tenait dans une main. Le Tribunal fédéral a considéré que dans ce contexte l’expression utilisée par l’assuré était certes vulgaire et qu’elle pouvait être comprise comme signifiant, familièrement dit, « dégage ». On pouvait en outre sérieusement douter que les occupants du véhicule, qui avaient provoqué gratuitement et sans doute assez gravement le recourant en proférant des insultes à son endroit, se soient sentis particulièrement humiliés par les mots de ce dernier. De plus, on ne pouvait guère attendre d'un jeune homme, alors âgé de 19 ans, qu'il se laisse insulter par d'autres jeunes gens tout en restant silencieux ou qu'il réagisse en des termes choisis. Les mots employés par le recourant s'inscrivaient dans le contexte particulier d'une agression verbale et relevaient d'une réaction spontanée à celle-ci. Si véritablement les intentions des agresseurs devaient être claires dès le début, on peut alors penser que ceux-ci ont saisi le prétexte de cette réaction pour frapper le recourant. Ce n'était du reste pas tant les mots en question qui étaient à l'origine des coups qui avaient été portés au recourant par les quatre occupants du véhicule que le fait que l'assuré avait tenté de se défendre au moyen de son casque contre le premier agresseur. C'était ce geste de défense qui avait visiblement provoqué un désir de vengeance des trois autres protagonistes restés jusque-là à l'intérieur du véhicule avant de venir frapper à leur tour l'assuré. L'injonction répétée « tue-le, tue-le ! » proférée par l'un d'entre eux et la menace « on va se revoir » constituaient des indices sérieux de cette volonté de vengeance. En définitive, il n'y avait pas eu de dispute préalable dans laquelle se serait engagé imprudemment le recourant. Son mouvement de défense au moyen de son casque était légitime. Malgré les termes employés, sa réponse aux insultes proférées ne suffisait pas à le placer dans la zone de danger exclue par l'assurance. Dans ces conditions, il n'y avait pas lieu à réduction des prestations en application de l'art. 49 al. 2 OLAA. Les faits de la présente cause n’étaient pas comparables à la situation jugée dans l'arrêt 8C_932/2012 du 22 mars 2013 où un assuré qui se trouvait dans sa voiture avec sa femme dans un parking avait été passé à tabac par deux jeunes gens auxquels ils avaient montré un doigt d'honneur, geste qui présentait indéniablement un caractère obscène et qui passait pour une provocation. Dans un arrêt 8C_575/2017 du 26 avril 2018, le Tribunal fédéral a jugé qu’il était, dans le cas d’espèce, incontestable qu'une dispute avait précédé les coups portés au recourant, comme cela ressortait des propos qu'il avait admis avoir tenus. Même si le recourant entendait exprimer un ras-le-bol et tourner en dérision la situation en suggérant à C. d'aller dehors « pour s'expliquer », il n'en reste pas moins que de telles paroles contribuaient davantage à envenimer la situation qu'à l'apaiser. Même si les intéressés se connaissaient bien et n'étaient pas d'un naturel violent, le recourant ne pouvait ignorer que la dispute risquait de dégénérer compte tenu des références explicites à la possibilité d'en venir aux mains. Si l'objet de la dispute n'était pas clair - quoi qu'en dise le recourant -, la séquence vidéo permettait toutefois de retenir que le mouvement de bras exécuté pour atteindre la nuque de C. était trop brusque pour être perçu comme un geste d'amitié ou l'expression d'une volonté d'apaisement. Ce dernier s'était d'ailleurs immédiatement levé et a repoussé de ses mains le recourant. Enfin, l'ensemble de ces éléments (l'échange verbal houleux, le geste du recourant et la réaction provoquée) faisait partie intégrante de l'altercation. Au vu des circonstances, le « coup de sang » invoqué par le recourant à propos de son agresseur ne saurait constituer une circonstance tout à fait exceptionnelle ou si extraordinaire que l'on ne pouvait pas s'y attendre. Cela étant, il n'y a eu aucune interruption du lien de causalité adéquate entre le comportement du recourant et le résultat qui est survenu (sur cette notion cf . ATF 134 V 340 consid. 6.2 p. 349 ; 133 V 14 consid. 10.2 p. 23 ; 130 III 182 consid. 5.4 p. 188 ; voir également, pour un cas où une interruption de la causalité adéquate a été admise, les arrêts du Tribunal fédéral 8C_363/2010 du 29 mars 2011 et 4A_66/2010 du 27 mai 2010).</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la chambre de céans considère que vu les propos tenus par le voisin du recourant, alors que ce dernier était encore sur son balcon, à savoir : « sale race, je vais niquer ta mère, je vais niquer ta race. Tu verras demain », le recourant ne pouvait ignorer que la dispute risquait de dégénérer, compte tenu des références explicites à la possibilité d'en venir aux mains. Si ses relations avaient été bonnes avec son agresseur au début de leur voisinage, ce n’était plus le cas avant l’altercation. Le recourant a en effet indiqué, lors de son audition auprès de la gendarmerie nationale le 20 juin 2021, qu’à un moment donné son voisin avait cessé de lui dire bonjour et qu’il le regardait méchamment. Il est difficilement contestable qu’un climat d’hostilité régnait entre eux à l’époque des faits. Il ressort en outre des images vidéo produites par le recourant que celui-ci ne s’est pas comporté comme une victime, au moment de l’altercation avec son voisin, dès lors qu’on le voit se diriger de manière déterminée vers celui-ci qui est entrain de reculer. Même si ces images ne montrent pas le début de l’altercation et qu’il est possible que celle-ci ait été initiée par son voisin, elles mettent en évidence que le recourant a cherché le contact avec celui-ci et qu’il n’a pas quitté la zone de danger, alors qu’il pouvait encore le faire à ce moment-là. Contrairement à ses déclarations à la police, il n’avait manifestement pas peur et était prêt à en découdre. Cela est corroboré par l’audition de K______, qui a déclaré à la gendarmerie que lorsque le voisin avait dit à l’assuré : « Je vais te crever ta race, t’as qu’à descendre… mais il ne faut pas dire ça à A______ », laissant ainsi entendre que celui-ci ne craignait pas le contact et qu’il était très réactif. Enfin, il n’y a manifestement pas eu d’interruption du lien de causalité adéquate entre le comportement du recourant et le résultat qui est survenu.</w:t>
      </w:r>
    </w:p>
    <w:p>
      <w:r>
        <w:rPr>
          <w:b/>
        </w:rPr>
        <w:t>E. 5</w:t>
      </w:r>
    </w:p>
    <w:p>
      <w:r>
        <w:t>Il convient encore d’examiner si les conditions d’une restitution sont réalisées.</w:t>
      </w:r>
    </w:p>
    <w:p>
      <w:r>
        <w:rPr>
          <w:b/>
        </w:rPr>
        <w:t>E. 5.1</w:t>
      </w:r>
    </w:p>
    <w:p>
      <w:r>
        <w:t>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 cf. ATF 143 V 105 consid. 2.1 et 2.5.2 ; arrêts du Tribunal fédéral 8C_742/2021 du 4 mars 2022 consid. 5.4.3 non publié in ATF 148 V 327 ; 8C_665/2020 du 8 juin 2021 consid. 5.2).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En vertu de l'art. 25 al. 2 phr. 1 LPGA (dans sa teneur en vigueur à compter du 1 er janvier 2021), le droit de demander la restitution s'éteint trois ans après le moment où l'institution d’assurance a eu connaissance du fait, mais au plus tard cinq ans après le versement de la prestation.</w:t>
      </w:r>
    </w:p>
    <w:p>
      <w:r>
        <w:rPr>
          <w:b/>
        </w:rPr>
        <w:t>E. 5.2</w:t>
      </w:r>
    </w:p>
    <w:p>
      <w:r>
        <w:t>En l’espèce, l’intimée a décidé le 3 août 2021 de payer l’indemnité journalière à 100%, sans réserve quant à une éventuelle réduction. Elle était déjà en possession du rapport d’audition du recourant depuis le 26 juillet 2021, mais ce rapport ne suffisait pas à établir que les conditions d’une réduction des prestations étaient remplies, dès lors que le recourant était entendu en tant que victime et plaignant. L’employeur avait en outre déclaré dans son annonce du cas que le 19 juin 2021, le voisin de l’assuré avait menacé ce dernier de mort avec un couteau et l’avait agressé, en le frappant au bras et au cou. En revanche, la situation était différente dès le 27 mai 2024, date à laquelle l’intimée a reçu le rapport d’enquête préliminaire de la gendarmerie de F______ du 20 juin 2021, lequel contenait davantage d’informations qui donnaient un autre éclairage sur le rôle du recourant lors des faits. Il s’agissait là de faits nouveaux dont l’intimée n’avait pas connaissance auparavant et qui justifiaient une révision, au sens de l’art. 53 al. 1 LPGA de sa décision d’octroi des indemnités journalières à 100% et une réduction des prestations en application de l’art. 50 OLAA. Si l’on admet que la décision de restitution du 20 septembre 2024 comprend implicitement une demande de restitution, ce qui doit être le cas, elle est tardive, car le délai de 90 jours dès la connaissance des faits nouveaux a commencé le 27 mai 2024 et se terminait le 25 août 2024. Les factures des 12 octobre et 21 octobre 2024 le sont également. Il ne s’agit pas là d’un délai soumis à restitution. En conséquence, la décision de restitution doit être annulée.</w:t>
      </w:r>
    </w:p>
    <w:p>
      <w:r>
        <w:rPr>
          <w:b/>
        </w:rPr>
        <w:t>E. 6</w:t>
      </w:r>
    </w:p>
    <w:p>
      <w:r>
        <w:t>Au vu de ce qui précède, le recours sera partiellement admis et la décision querellée annulée en tant qu’elle fonde la demande de l’intimée de restitution des indemnités journalières versées en trop au recourant, et confirmée en tant qu’elle réduit le droit aux indemnités journalières du recourant de 50% dès le 22 juin 2021.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