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A/429/2018 vom 20. Dezember 2019</w:t>
      </w:r>
    </w:p>
    <w:p>
      <w:r>
        <w:t>GE Cour de justice, 2019-12-20, FR</w:t>
      </w:r>
    </w:p>
    <w:p>
      <w:r>
        <w:rPr>
          <w:b/>
        </w:rPr>
        <w:t xml:space="preserve">Quelle: </w:t>
      </w:r>
      <w:r>
        <w:t>https://mcp.opencaselaw.ch/entscheid/ge_gerichte_A_429_2018</w:t>
      </w:r>
    </w:p>
    <w:p>
      <w:r>
        <w:t>FR: GE_GERICHTE A/429/2018 du 20 décembre 2019</w:t>
      </w:r>
    </w:p>
    <w:p>
      <w:r>
        <w:t>IT: GE_GERICHTE A/429/2018 del 20 dicembre 2019</w:t>
      </w:r>
    </w:p>
    <w:p>
      <w:pPr>
        <w:pStyle w:val="Heading2"/>
      </w:pPr>
      <w:r>
        <w:t>Erwägungen</w:t>
      </w:r>
    </w:p>
    <w:p>
      <w:r>
        <w:rPr>
          <w:b/>
        </w:rPr>
        <w:t>E. 11</w:t>
      </w:r>
    </w:p>
    <w:p>
      <w:r>
        <w:t>Casuistique: Si cas d'amputation de la main : Pour une vue d'ensemble de la casuistique voir le consid. 4.1.2 de l'arrêt du Tribunal fédéral 8C_77/2009 du 4 juin 2009. Si cycliste renversé par un autre usager de la route (véhicule automobile ou cyclomoteur) : Les cas classés dans la catégorie des accidents de gravité moyenne ont en commun le fait que la collision s'est produite alors que le véhicule impliqué circulait à une vitesse plutôt modérée (voir par exemple les arrêts du Tribunal fédéral 8C_62/2013 du 11 septembre 2013 consid. 7.3, 8C_816/2012 du 4 septembre 2013 et 8C_530/2007 du 10 juin 2008). En revanche, l'accident subi par une assurée, fauchée sur un passage piétons par une voiture qui n'a pratiquement pas freiné et projetée en l'air à près de 15 mètres, a été rangé à la limite supérieure des accidents de gravité moyenne (arrêt du Tribunal fédéral 8C_818/2015 du 15 novembre 2016 consid. 5.3). Caractère impressionnant et dramatique :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La position dans laquelle un assuré chute ou se reçoit au sol pourrait, selon les circonstances, entraîner l'admission du critère invoqué. Toutefois, le fait d'être tombé sur le côté (d'environ 4 mètres) ne saurait, objectivement, conférer à l'accident un caractère particulièrement impressionnant ou dramatique. Lorsqu'un assuré glisse et chute, comme c'est le cas en l'espèce, une réception latérale n'est pas forcément plus traumatisante qu'une chute verticale (arrêt du Tribunal fédéral 8C_/766/2017 du 30 juillet 2018 consid. 6.3.1.2). Dans l'arrêt 8C_657/2013 du 3 juillet 2014 (consid. 5.4), le Tribunal fédéral a développé sa casuistique en cas de chute.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Caractère du degré et de la durée de l'incapacité de travail due aux lésions physiques :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 12.    En l'espèce, on ne saurait suivre le recourant qui estime qu'au moins cinq des sept critères inventoriés par la jurisprudence seraient réalisés, dans le cas d'espèce, de sorte que, selon lui, l'accident qu'il qualifie de gravité moyenne, devrait conduire à l'admission d'un lien de causalité adéquate entre les troubles psychiques et l'accident du 6 août 2014, dès lors que la jurisprudence estime que ce lien doit être considéré comme établi pour ce type d'accidents (gravité moyenne stricto sensu ) lorsque trois critères au moins sont réunis, ou qu'un seul de ces critères revête une intensité particulière. Ce n'est pas le cas en l'espèce : -          comme le rappelle la jurisprudence, tout accident de gravité moyenne présente un certain caractère impressionnant, mais cela n'est pas suffisant pour admettre sans autre l'existence d'un tel critère, d'autant qu'il s'agit d'évaluer les circonstances de manière objective, et non pas à l'aune du ressenti subjectif de l'assuré. Les exemples casuistiques évoqués ci-dessus permettent de prendre la mesure de ce que recouvre cette notion, non réalisée ici ; -          gravité ou la nature particulière des lésions physiques, compte tenu notamment du fait qu'elles sont propres, selon l'expérience, à entraîner des troubles psychiques: le recourant ne fait qu'affirmer que ce critère serait réalisé, en alléguant que les violentes douleurs physiques qu'il explique ressentir témoigneraient de cette gravité, ce qui n'est manifestement pas suffisant ni convaincant. On rappellera en effet que le premier diagnostic posé lors de son admission aux urgences de l'hôpital le jour des faits était celui de contusion de l'avant-pied droit (R52.9). À l'examen clinique, il n'y avait pas de douleurs de la cheville droite, mais des douleurs à la palpation des têtes métatarsiennes et des orteils; discrète tuméfaction; pas de troubles neurovasculaires ni de limitations à la mobilité, douloureuse en flexion et extension de l'avant-pied. Le traitement initial était conservateur (prescription d'antalgiques et port d'une chaussure Darco, glace, repos et surélévation du membre) ; -          durée anormalement longue du traitement médical: quoi qu'en dise le recourant, ce critère n'est pas non plus réalisé, alors qu'il était rapidement constaté que l'évolution était favorable hormis la persistance des douleurs alléguées. Comme le relève d'ailleurs l'intimée, l'aspect temporel n'est pas à lui seul décisif. La longueur du traitement a en effet, dans le cas d'espèce, été très largement influencée par la persistance de douleurs alléguées par le recourant, ce qui a notamment incité le Dr I______ (rapport du 4 juin 2015) à proposer un séjour à la CRR, au vu des douleurs persistantes, inexplicables par rapport aux résultats de l'imagerie, le médecin estimant être parvenu aux limites de ce qui était possible sur le plan ambulatoire; les deux hospitalisations, à une année d'intervalle, auprès de la CRR, ont notamment montré que la participation de l'assuré aux thérapies mises en place était moyenne, l'intéressé étant centré sur ses douleurs, à quoi s'ajoutaient encore des facteurs non médicaux; -          les douleurs physiques persistantes: ce critère n'est pas davantage réalisé, pour les raisons qui viennent d'être évoquées d'une part, et d'autre part en raison du caractère subjectif qui s'y attache, les spécialistes consultés ne s'expliquant pas la persistance de ces douleurs et leur intensité (à l'instar notamment de la Dresse N_____, qui avait néanmoins recommandé un examen neurologique, concevant que le patient puisse souffrir d'une pathologie du nerf sural ; or l'examen auquel le Dr O_____ a procédé s'est révélé normal et rassurant, écartant cette pathologie) ; -          erreurs dans le traitement médical entraînant une aggravation notable des séquelles de l'accident: non pertinent et d'ailleurs non soutenu sérieusement par le recourant. -          difficultés apparues au cours de la guérison et des complications importantes: critère objectivement non réalisé. -          degré et la durée de l'incapacité de travail due aux lésions physiques. Ce critère n'est pas non plus réalisé : la plupart des médecins qui ont connu de ce cas, que ce soient les médecins traitants ou spécialistes consultés, ou les médecins des assurances sociales (CNA ou OAI) admettant tous une capacité de travail importante sinon entière, dans une activité adaptée aux LF retenues. Du reste, le recourant entendu par la chambre de céans et répondant à une question des juges a répondu : «je n'ai pas cherché d'emploi depuis mon accident le 6 août 2014 : comment pourrais-je chercher un emploi avec toutes les douleurs que je ressens au pied, au dos, au genou ; je dors mal, j'ai un peu mal partout dans mon corps, je prends des médicaments. Cette seule affirmation subjective ne suffit pas à confirmer l'existence d'une incapacité totale de travail, au-delà de ce qu'elle soulève la question de l'obligation de diminuer le dommage et de consacrer les efforts exigibles pour une reprise d'activité professionnelle, reprise également appelée de leurs voeux par les médecins traitants. On relèvera également qu'expressément interrogé sur le fait de savoir s'il bénéficiait d'un suivi sur le plan psychiatrique, le recourant a répondu par la négative, précisant: « Je ne suis pas fou. La seule chose que je veux est qu'on me guérisse le pied. Moralement, je vais mal, psychiquement, je ne vais pas bien. ». Cette attitude ne saurait en effet attester par elle-même une incapacité totale de travail et encore moins sa durée. Au vu de ce qui précède, force est de constater que le lien de causalité adéquate entre les troubles psychiques, - certes diagnostiqués lors du séjour de l'intéressé à la CRR en 2016 (trouble de l'adaptation avec réaction mixte anxieuse et dépressive) - et l'accident du 6 août 2014 ne saurait être reconnu. Dans ces conditions, et comme l'a d'ailleurs relevé l'intimée, la question même de la causalité naturelle entre les troubles psychiques et l'accident peut rester, en l'espèce, indécise. C'est donc à juste titre que l'intimée, suivant en cela l'appréciation du médecin d'arrondissement dans l'évaluation de la capacité de travail du recourant, a écarté la prise en compte des troubles psychiques. 13.    En tant qu'il conteste la décision entreprise et conclut à son annulation, en se prévalant de l'avis de certains de ses médecins traitants, et en concluant préalablement à la mise en oeuvre d'un nouvel examen, le recourant conteste implicitement l'avis du médecin d'arrondissement, dans la mesure oû la décision entreprise est fondée sur cet avis médical. Il convient donc d'examiner si l'on peut reconnaître aux rapports successifs du Dr K_____ une pleine valeur probante.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h.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16.    Il convient tout d'abord d'observer que le Dr K_____ a régulièrement été interpellé par le gestionnaire de la CNA, et il a suivi personnellement l'évolution de l'état de santé à travers le dossier médical de l'assuré, tout au long du processus qui a conduit à la décision sur le droit à la rente ainsi qu'à l'octroi de l'IPAI, décision confirmée sur opposition, par la décision entreprise du 28 décembre 2017. Ainsi, le médecin d'arrondissement a examiné personnellement l'assuré, à deux reprises, la première le 13 octobre 2015. Il avait alors conclu que sur le plan médical la situation n'était pas stabilisée. Une intervention chirurgicale avait été proposée, le médecin d'arrondissement considérant cette intervention comme adaptée à la situation. Le rapport d'examen, consécutif au premier séjour de l'assuré à la CRR, retrace, par le menu, l'évolution du cas depuis le sinistre du 6 août 2014, jusqu'à l'examen, et prend en compte tous les documents médicaux versés au dossier pendant cette période, commentant ou résumant ces divers documents. Il a également pris en compte les explications de l'assuré, qui était alors assisté d'un interprète, noté les plaintes de l'assuré, et procédé à son examen clinique. Il a posé un diagnostic et apprécié le cas, en pleine connaissance du dossier. Ce rapport remplit pleinement les conditions jurisprudentielles pour se voir reconnaître une pleine valeur probante. Il a ensuite procédé à un nouvel examen clinique de l'intéressé et à une évaluation du dossier en fonction de son évolution depuis le précédent examen, recueillant également les plaintes actuelles de l'assuré et en l'examinant personnellement. Comme dans le précédent rapport, il a également tenu compte des renseignements anamnestiques nécessaires, et procédé à l'appréciation du cas, en toute connaissance du dossier et des diagnostics. En l'état actuel celui-ci ne pouvait être considéré comme suffisamment stabilisé pour permettre un bilan assécurologique. Il était néanmoins attendu un retour dans les meilleurs délais à une reprise de l'activité professionnelle adaptée. Compte tenu des séquelles de l'accident et des interventions réalisées, son ancien travail de monteur en échafaudages n'était plus exigible. Se déterminant sur les limitations fonctionnelles, l'examinateur a observé que pour ce qui était de l'exigibilité, les activités avec marche sur de longues distances sur terrain plat, les activités en terrain instable ainsi que le port de charges supérieures à 15 kg, les travaux accroupis ou à genoux ainsi que l'utilisation d'échelles d'escaliers étaient déconseillées. Il était plutôt proposé une activité respectant ces restrictions, avec une alternance des positions assises et debout avec en plus des déplacements sur de courtes distances. En respectant ces limitations, une activité complète est attendue dans le courant de l'année 2017. Une stabilisation du cas était prévisible dans les 6 mois à venir. Il était prévu de refaire le point de la situation en avril-mai 2017. Il confirmait qu'une indemnité pour atteinte à l'intégrité (IPAI) était aussi prévisible, à confirmer selon évolution. Enfin le 11 mai 2017, prenant en compte les derniers avis médicaux manquants pour pouvoir définitivement se prononcer, il a procédé à un complément d'appréciation médicale notamment après l'évaluation du Dr M_____. En conclusion la situation devait être considérée comme médicalement stabilisée. L'exigibilité proposée en janvier 2017 était désormais d'actualité. Le jour même, il a procédé à une estimation de l'IPAI: l'atteinte à l'intégrité était estimée à 10 %, basée sur la table 2 des barèmes d'indemnités établis et publiés par les médecins de la CNA. L'ensemble des rapports successifs apparaît ainsi avoir été rédigé en toute connaissance du dossier, prenant en considération les éléments anamnestiques nécessaires, les diagnostics, les plaintes de l'assuré, les avis médicaux des médecins traitants, dans la mesure de leur pertinence, et aboutissant à des conclusions claires, exemptes de toute contradiction, motivées de façon adéquate et pouvant ainsi se voir reconnaître une pleine valeur probante. Les objections du recourant sont essentiellement subjectives; en tant qu'elles reposeraient sur l'avis de ses médecins traitants, elles procèdent soit de sa propre appréciation subjective de l'opinion de ces derniers, soit ceux-ci se fondent sur les propres déclarations de leur patient, et ne sont nullement de nature à susciter le moindre doute par rapport aux conclusions du médecin d'arrondissement de l'intimée. Il convient également d'avoir à l'esprit les principes de jurisprudence rappelée précédemment, s'agissant de départager les avis divergents entre les médecins d'une assurance sociale et les médecins traitants, en raison de la nature différente du mandat confié à chacun. Ainsi, n'y a pas lieu d'envisager des mesures d'instruction complémentaire et en particulier pas de procéder à un nouvel examen comme le souhaite le recourant. 17.    Le recourant conteste encore le taux d'invalidité, inférieur à 10 % tel que fixé par l'intimée, alléguant que la majorité des médecins consultés estime qu'il serait invalide à tout le moins à 20 %, voire à 100 %. Il convient dès lors de rappeler les principes régissant, dans le domaine de l'assurance-accidents, la détermination du taux d'invalidité, lors de l'examen du droit à la rente.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b.    Il convient de rappeler que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arrêt du Tribunal fédéral des assurances I 554/01 du 19 avril 2002).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d. Si l'on ne peut déterminer ou évaluer sûrement le revenu hypothétique sans invalidité et le revenu d'invalide, il faut, en s'inspirant de la méthode spécifique pour non-actifs (art. 8 al. 3 LPGAI),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e.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18.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La jurisprudence de l'ATF 129 V 472 consid. 4.2.2, développée en rapport avec la violation du droit d'être entendu (art. 29 de la Constitution fédérale de la Confédération suisse du 18 avril 1999 [Cst. - RS 101]) et de l'égalité des armes (art. 6 par 1 de la Convention de sauvegarde des droits de l'homme et des libertés fondamentales du 4 novembre 1950 [CEDH - RS 0.101]),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Les éventuelles objections de l'assuré sur le choix et sur la représentativité des DPT dans un cas concret doivent être soulevées, en principe, durant la procédure d'opposition (ATF 129 V 472 consid. 4.2.2). 19.    En l'espèce, la décision querellée a fixé le revenu présumable sans invalidité à hauteur de CHF 4'854.- (part du 13 e salaire incluse) et un revenu exigible d'au moins CHF 4'742.- (part du 13 e salaire incluse) laissant apparaître une perte de 2.3 %. Le revenu d'invalide a été déterminé en l'espèce sur la base des données salariales résultant de descriptions de postes de travail (DPT), ceci en pleine conformité avec les règles jurisprudentielles rappelées ci-dessus. Le recourant ne le conteste d'ailleurs pas, se contentant de considérer que la plupart de ses médecins traitants considèrent le taux d'invalidité à hauteur de plus de 20 %, considération médico-théorique - évaluant en réalité la CT et non le taux d'invalidité -, qui ne saurait être prise en compte comme telle, dans la détermination de l'invalidité, qui doit, comme rappelé ci-dessus, être fondée sur la comparaison des revenus avec et sans invalidité, pour déterminer le manque à gagner, exprimé dans un premier temps en valeur absolue, puis extrapolé en pourcentage, soit le taux d'invalidité. Ainsi, la décision entreprise n'est pas critiquable ; ce grief sera rejeté. 20.    Enfin, le recourant fait grief à l'intimée d'avoir fixé le taux d'IPAI à hauteur de 10 %. Il affirme, de manière péremptoire, et sans la moindre argumentation, que ce taux devra être revu à la hausse, " en prenant en considération le taux d'invalidité revu". Il convient à cet égard de rappeler à l'intention du recourant les principes régissant l'octroi de ce type de prestation particulière.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En cas de rechute ou de séquelles tardives, la base de calcul déterminante pour le calcul de l'indemnité pour atteinte à l'intégrité due est le montant maximum du gain annuel assuré au jour de l'accident (ATF 127 V 456 consid. 4). c.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 21.    En l'espèce, le médecin d'arrondissement a estimé l'atteinte à l'intégrité lors de son appréciation médicale du 11 mai 2017. Il a constaté un status après fracture du 3 e métatarsien droit et déchirure de la plaque plantaire traitée par chirurgie. Un bilan radiographique avait mis en évidence une fracture non déplacée du 3 e métatarsien. Pour les suites, une bursite inter-métatarsienne, une chondropathie de la NTP et une déchirure de la plaque plantaire ont été constatées. Cela a nécessité une chirurgie. Les suites postopératoires n'ont pas permis une récupération complète des capacités fonctionnelles. La situation est stabilisée selon les rapports médicaux, aucune intervention n'étant à proposer. Sur cette base, le médecin d'arrondissement, appliquant la table 2 d'indemnisation des atteintes à l'intégrité selon la LAA - atteintes à l'intégrité résultant de troubles fonctionnels des membres inférieurs -. Concrètement il a appliqué par analogie, le taux prévu pour les troubles fonctionnels douloureux après fracture luxation de l'articulation de Lisfranc ou du métatarse (10 - 20%), et a fixé le taux à 10 %, correspondant au minimum de la fourchette prévue par la table appliquée: dans la mesure où selon ses constatations les suites postopératoires ne permettaient pas une récupération complète, le taux minimal a été ainsi retenu; il n'apparaît pas critiquable. Le recourant prétend en substance que le taux de l'indemnité litigieuse aurait été fixé en fonction du taux d'invalidité de 10 %; ce qui ne correspond du reste pas au taux d'invalidité fixé dans la décision litigieuse à hauteur de 2.3 %. Dans la droite ligne de cette argumentation erronée, il estimait que l'indemnité pour IPAI devrait être revue à la hausse, en fonction du taux d'invalidité lui-même revu à la hausse aux termes de la nouvelle appréciation du taux d'invalidité qu'il appelait de ses voeux par la tenue d'un nouvel examen. Dûment interpellée au sujet de cette argumentation, l'avocate du recourant a finalement admis, lors de l'audience de comparution personnelle du 1 er juillet 2019, qu'il n'y avait pas de rapport entre le taux d'invalidité et le taux d'IPAI, et que cette phrase était malheureuse. Elle a en revanche considéré que le taux d'IPAI fixé par le médecin d'arrondissement était trop faible, car il n'aurait pas été fixé en fonction d'un examen approfondi du cas particulier du recourant. La chambre de céans ne saurait la suivre. Il est vrai, formellement, que l'évaluation de l'atteinte à l'intégrité a été fixée par le Dr K_____ sans nouvel examen clinique de l'assuré, dans le cadre de son appréciation médicale du 11 mai 2017, complémentaire à l'examen personnel de l'intéressé auquel il avait procédé le 30 janvier 2017, retenant alors qu'une IPAI était prévisible, à confirmer selon l'évolution, et précisant alors que compte tenu des lésions, cette IPAI serait probablement établie par analogie. L'évaluation du 11 mai 2017 a donc été faite sur la base du dossier, et notamment des derniers documents médicaux émanant des médecins du recourant. Comme rappelé précédemment, une expertise médicale effectuée uniquement sur la base d'un dossier peut se voir reconnaître une pleine valeur probante (arrêt du Tribunal fédéral 8C_681/2011 du 27 juin 2012 consid. 4.1 et les références). Tel est bien le cas en l'espèce, comme on l'a vu précédemment; la chambre de céans n'a aucun motif de s'écarter de l'évaluation du spécialiste, aucun indice figurant au dossier ne permettant de la remettre en cause, celle-ci étant d'une part motivée, et relevant d'autre part du pouvoir d'appréciation du médecin. 22.    Au vu de ce qui précède, en tous points mal fondé, le recours est rejeté. 23.    L'intimée a conclu à la condamnation du recourant aux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l'occurrence il ne sera pas alloué de dépens. 24.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