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A/4290/2009 vom 4. Februar 2010</w:t>
      </w:r>
    </w:p>
    <w:p>
      <w:r>
        <w:t>GE Cour de justice, 2010-02-04, FR</w:t>
      </w:r>
    </w:p>
    <w:p>
      <w:r>
        <w:rPr>
          <w:b/>
        </w:rPr>
        <w:t xml:space="preserve">Quelle: </w:t>
      </w:r>
      <w:r>
        <w:t>https://mcp.opencaselaw.ch/entscheid/ge_gerichte_A_4290_2009</w:t>
      </w:r>
    </w:p>
    <w:p>
      <w:r>
        <w:t>FR: GE_GERICHTE A/4290/2009 du 4 février 2010</w:t>
      </w:r>
    </w:p>
    <w:p>
      <w:r>
        <w:t>IT: GE_GERICHTE A/4290/2009 del 4 febbraio 2010</w:t>
      </w:r>
    </w:p>
    <w:p>
      <w:pPr>
        <w:pStyle w:val="Heading2"/>
      </w:pPr>
      <w:r>
        <w:t>Regeste</w:t>
      </w:r>
    </w:p>
    <w:p>
      <w:r>
        <w:t>Abus de droit. Dépens. | Plainte rejetée ; les circonstances exceptionnelles permettant d'admettre l'existence d'une poursuite abusive ne sont pas réalisées. | CC.2</w:t>
      </w:r>
    </w:p>
    <w:p>
      <w:pPr>
        <w:pStyle w:val="Heading2"/>
      </w:pPr>
      <w:r>
        <w:t>Erwägungen</w:t>
      </w:r>
    </w:p>
    <w:p>
      <w:r>
        <w:rPr>
          <w:b/>
        </w:rPr>
        <w:t>E. 09</w:t>
      </w:r>
    </w:p>
    <w:p>
      <w:r>
        <w:t>xxxx63 R, 09 xxxx25 E et 09 xxxx66 Y) que cette dernière a précédemment initiées à son encontre ne sont guère plus sérieuses. Il produit notamment un jugement rendu par le Tribunal de première instance le 16 juillet 2009 ( JTPI/8932/2009 ) prononçant la mainlevée définitive de l'opposition formée par Mme A______ au commandement de payer, poursuite n° 09 xxxx31 E, qu'il lui avait fait notifier aux fins d'obtenir le paiement d'arriérés de contributions d'entretien dues par cette dernière en faveur de leur fille selon un jugement de divorce entré en force. Dans ses considérants, le juge de la mainlevée a retenu que Mme A______ ne pouvait exciper de compensation avec des créances dont elle se prévalait (montants versés pour le compte de M. N______, notamment dans l'intérêt de leur fille) au motif que celles-ci ne découlaient pas d'un jugement ou d'une reconnaissance de dette inconditionnelle, respectivement qu'elles n'étaient pas établies par pièces et qu'en tout état " les créances alimentaires ne peuvent en principe pas fait l'objet d'une compensation (art. 125 chiffre 2 du code des obligations) et doivent être honorées en espèces et non pas en décidant de désintéresser des créanciers choisis du crédirentier de la contribution d'entretien " (p. 4 du jugement). M. N______ affirme qu'au vu de ces considérants, Mme A______ savait parfaitement que les sommes réclamées n'étaient pas dues et qu'elle a agi " par esprit de revanche et/ de chicane ". A teneur d'un courrier daté du 27 novembre 2009, qu'il produit, M. N______ a demandé à l'Office d'inviter Mme A______ à présenter les moyens de preuve afférents à sa prétendue créance. Au terme de son rapport du 5 janvier 2009, l'Office, qui relève que, compte tenu de explications fournies par M. N______, il n'apparaît pas manifeste que la poursuivante a agi dans un but étranger à l'exécution forcée ou chicanier, conclut au rejet de la plainte. Invitée à se déterminer, Mme A______ n'a pas donné suite. EN DROIT 1.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(art. 17 al. 1 LP). La plainte doit être déposée dans les dix jours de celui où le plaignant a eu connaissance de la mesure (art. 17 al. 2 LP). 1.b. Un commandement de payer et sa notification constitue des mesures sujettes à plainte et le plaignant, en tant que débiteur poursuivi, a qualité pour agir par cette voie. Sa plainte a été déposée en temps utile et satisfait aux exigences de forme et de contenu prescrites par la loi (art. 13 al. 1 et 2 LaLP). Elle sera donc déclarée recevable.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 in SchKG I, ad art. 17 n° 27 ; Pierre-Robert Gilliéron , Commentaire, ad art. 17 n° 88 ; Franco Lorandi , Betreibungsrechtliche Beschwerde und Nichtigkeit, Kommentar zu den Artikeln 13 - 30 SchKG, 2000, ad art. 17 n° 274). 2.b.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2.c.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3. En l’espèce, la poursuivante réclame au poursuivi le remboursement de sommes qu'elle prétend avoir dû payer, en ses lieu et place, et de frais qu'elle aurait avancés pour leur fille. Le plaignant affirme que ces créances sont celles que l'intéressée a déjà fait valoir dans le cadre d'une procédure de mainlevée d'opposition au commandement de payer qu'il lui avait fait notifier et que le juge a refusé de tenir de la compensation que cette dernière invoquait. Or, contrairement à ce que semble prétendre le plaignant, le juge de la mainlevée n'a pas dit que ces créances, dont la poursuivante estime être titulaire à son encontre, n'étaient pas fondées. Relevant que " le jugement de divorce et les pièces produites par la citée permettent certes de constater que la situation de la famille N______ est atypique et chaotique depuis plusieurs années ", il a, en effet, précisé que, statuant en procédure sommaire et sur la base de preuves par titres, il ne lui appartenait pas de tenir compte de " circonstances aussi exceptionnelles pour s'écarter d'un jugement au contenu clair et auquel les parties sont censées se tenir et sont réputées s'être tenues " (p. 5 du jugement du Tribunal de première instance JTPI/8932/2009 ). La Commission de céans retiendra en conséquence que la poursuite querellée n'apparaît pas comme étant totalement étrangère au droit de l’exécution forcée et manifestement dénuée de tout fondement. Il sied également de noter que les poursuites initiées antérieurement à l'encontre du plaignant par l'intimée ne visent ni les mêmes montant ni les mêmes causes que ceux mentionnés dans la poursuite querellée. Au surplus, le refus de produire ses moyens de preuve - en l'occurrence il ne ressort pas de l'instruction de la cause que l'Office aurait donné suite à la demande du plaignant ni a fortiori que la prétendue créancière y aurait répondu - n'a aucune conséquence directe pour le poursuivant - le juge pouvant cependant en tenir compte en statuant sur les frais de procès consécutifs (art. 73 al. 2 2 ème phr. LP ; BlSchK 1982 189) - et ce seul fait ne permet pas de démontrer l'existence d'un abus de droit, et donc de considérer la poursuite comme nulle (BlSchK 1994 96). 5. Des circonstances exceptionnelles permettant de conclure à l’existence d’une poursuite abusive n'étant pas établies, la plainte doit être rejetée. 6. La Commission de céans rappellera que lorsque la poursuite demeure au stade de l’opposition sans que le créancier ouvre action en reconnaissance de dette ou requière la mainlevée de l’opposition, la jurisprudence du Tribunal fédéral reconnaît au débiteur indûment poursuivi, à certaines conditions, la faculté d’ouvrir action pour faire constater l’inexistence de la dette et obtenir la radiation de la poursuite (ATF 128 III 334 , JdT 2002 II 76 et les arrêts cités). Il y a donc lieu de renvoyer le plaignant, s’il l’estime opportun, à agir à cet effet devant le tribunal civil compétent. 7. Conformément aux art. 20a al. 2 ch. 5 LP, 61 al. 2 let. a et 62 al. 2 OELP, il n'est pas perçu d'émolument de justice, ni alloué des dépens. PAR CES MOTIFS, LA COMMISSION DE SURVEILLANCE SIÉGEANT EN SECTION : A la forme : Déclare recevable la plainte formée le 1 er décembre 2009 par M. N______ contre la notification du commandement de payer, poursuite n° 09 xxxx20 X. Au fond : 1. La rejette. 2. Déboute les parties de toutes autres conclusions. Siégeant : Mme Ariane WEYENETH, présidente ; Mme Valérie CARERA et M. Philipp GANZONI,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