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A/4270/2021 vom 5. September 2023</w:t>
      </w:r>
    </w:p>
    <w:p>
      <w:r>
        <w:t>GE Cour de justice, 2023-09-05, FR</w:t>
      </w:r>
    </w:p>
    <w:p>
      <w:r>
        <w:rPr>
          <w:b/>
        </w:rPr>
        <w:t xml:space="preserve">Quelle: </w:t>
      </w:r>
      <w:r>
        <w:t>https://mcp.opencaselaw.ch/entscheid/ge_gerichte_A_4270_2021</w:t>
      </w:r>
    </w:p>
    <w:p>
      <w:r>
        <w:t>FR: GE_GERICHTE A/4270/2021 du 5 septembre 2023</w:t>
      </w:r>
    </w:p>
    <w:p>
      <w:r>
        <w:t>IT: GE_GERICHTE A/4270/2021 del 5 settembre 2023</w:t>
      </w:r>
    </w:p>
    <w:p>
      <w:pPr>
        <w:pStyle w:val="Heading2"/>
      </w:pPr>
      <w:r>
        <w:t>Erwägungen</w:t>
      </w:r>
    </w:p>
    <w:p>
      <w:r>
        <w:rPr>
          <w:b/>
        </w:rPr>
        <w:t>E. 4</w:t>
      </w:r>
    </w:p>
    <w:p>
      <w:r>
        <w:t>La recourante met en doute la conformité de la TPC au droit supérieur.![endif]&gt;![if&gt;</w:t>
      </w:r>
    </w:p>
    <w:p>
      <w:r>
        <w:rPr>
          <w:b/>
        </w:rPr>
        <w:t>E. 4.1</w:t>
      </w:r>
    </w:p>
    <w:p>
      <w:r>
        <w:t>Le Tribunal fédéral a eu l'occasion de qualifier la TPC d'impôt (arrêts du Tribunal fédéral 2P.241/2003 du 3 novembre 2004 consid. 2.3 ; 2P.9/1994 du 6 juin 1995 in SJ 1996 I 102 ; déjà ATF 24 I 614 consid. 2), et a statué dans de très nombreuses affaires genevoises à son sujet (pour les plus récentes : arrêts du Tribunal fédéral 2C_811/2020 du 19 janvier 2021 ; 2C_151/2020 du 25 mai 2020) sans jamais la considérer comme inconstitutionnelle ou contraire au droit supérieur. Quant à la chambre de céans, elle considère que, conformément à l'art. 80 al. 1 let. d LCP,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 ATA/782/2020 du 18 août 2020 consid. 4a).![endif]&gt;![if&gt;</w:t>
      </w:r>
    </w:p>
    <w:p>
      <w:r>
        <w:rPr>
          <w:b/>
        </w:rPr>
        <w:t>E. 4.2</w:t>
      </w:r>
    </w:p>
    <w:p>
      <w:r>
        <w:t>Le 11 mai 2023, le Grand Conseil a adopté à titre de contreprojet matériel à l'initiative 183 la loi 13293, qui abroge matériellement les art. 301 à 318C LCP actuels et abolit ainsi la taxe professionnelle communale.![endif]&gt;![if&gt; La loi 13293 n'est toutefois pas encore entrée en vigueur, le délai référendaire s'étant achevé le 4 septembre 2023 (arrêté du Conseil d'État du 21 juin 2023 publié dans la Feuille d'avis officielle de la République et canton de Genève du 23 juin 2023) mais le Conseil d'État n'ayant pas encore promulgué la loi ni fixé sa date d'entrée en vigueur.</w:t>
      </w:r>
    </w:p>
    <w:p>
      <w:r>
        <w:rPr>
          <w:b/>
        </w:rPr>
        <w:t>E. 4.3</w:t>
      </w:r>
    </w:p>
    <w:p>
      <w:r>
        <w:t>En l'espèce, les considérations de la recourante au sujet d'une contrariété de la TPC au droit supérieur relèvent bien davantage de la vision personnelle de son associé que d'arguments juridiques permettant de considérer comme contraire au droit supérieur une loi en vigueur dont la constitutionnalité a, comme cela vient d'être exposé, maintes fois été confirmée, étant rappelé au demeurant que ni la politique publique d'attraction des entreprises ni la répression de la criminalité économique ne sont du ressort des communes.![endif]&gt;![if&gt; Par ailleurs, la chambre de céans applique le droit positif et ne peut donc en l'état tenir aucun compte de la loi 13293, étant rappelé que pendant la période litigieuse, soit entre 2016 et 2019, les art. 301 ss LCP instituant la TPC étaient en vigueur.</w:t>
      </w:r>
    </w:p>
    <w:p>
      <w:r>
        <w:rPr>
          <w:b/>
        </w:rPr>
        <w:t>E. 5</w:t>
      </w:r>
    </w:p>
    <w:p>
      <w:r>
        <w:t>Est litigieux le calcul du chiffre des affaires de la recourante, en lien avec la date du début de ses activités.![endif]&gt;![if&gt;</w:t>
      </w:r>
    </w:p>
    <w:p>
      <w:r>
        <w:rPr>
          <w:b/>
        </w:rPr>
        <w:t>E. 5.1</w:t>
      </w:r>
    </w:p>
    <w:p>
      <w:r>
        <w:t>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LCP).![endif]&gt;![if&gt;</w:t>
      </w:r>
    </w:p>
    <w:p>
      <w:r>
        <w:rPr>
          <w:b/>
        </w:rPr>
        <w:t>E. 5.2</w:t>
      </w:r>
    </w:p>
    <w:p>
      <w:r>
        <w:t>La TPC est un véritable impôt et non une taxe ou une charge de préférence, mais elle est distincte de l’impôt sur le chiffre d’affaires ( ATA/655/2014 du 19 août 2014 consid. 4 et les références citées ; Xavier OBERSON, Droit fiscal suisse, 4 ème éd., 2012, p. 306 n. 62). Elle fait l’objet du titre III de la LCP (art. 301 ss).![endif]&gt;![if&gt;</w:t>
      </w:r>
    </w:p>
    <w:p>
      <w:r>
        <w:rPr>
          <w:b/>
        </w:rPr>
        <w:t>E. 5.3</w:t>
      </w:r>
    </w:p>
    <w:p>
      <w:r>
        <w:t>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05.04).![endif]&gt;![if&gt; Ainsi, selon l’art. 12B al. 1 RDLCP, le groupe professionnel n. 14 comprend les avocats, huissiers, notaires et conseillers juridiques avec un coefficient de 6 ‰.</w:t>
      </w:r>
    </w:p>
    <w:p>
      <w:r>
        <w:rPr>
          <w:b/>
        </w:rPr>
        <w:t>E. 5.4</w:t>
      </w:r>
    </w:p>
    <w:p>
      <w:r>
        <w:t>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LCP).![endif]&gt;![if&gt;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 ATA/782/2020 précité consid. 4d).</w:t>
      </w:r>
    </w:p>
    <w:p>
      <w:r>
        <w:rPr>
          <w:b/>
        </w:rPr>
        <w:t>E. 5.5</w:t>
      </w:r>
    </w:p>
    <w:p>
      <w:r>
        <w:t>Selon l’art. 310A LCP, qui traite des « cas particuliers », lorsque la période de calcul ne comprend pas encore deux années complètes d’assujettissement au sens de l’art. 301 al. 1 LCP, la taxe professionnelle communale est établie sur la base du premier exercice comptable. Si cet exercice est de moins de 12 mois, la taxe ne peut être reconduite l’année suivante (al. 1).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(al. 2). En cas de changement total du type d’activité, la taxe professionnelle communale est établie comme en début d’assujettissement (al. 3).![endif]&gt;![if&gt; L’art. 310 al. 1 LCP concrétise le principe de périodicité de l'impôt.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w:t>
      </w:r>
    </w:p>
    <w:p>
      <w:r>
        <w:rPr>
          <w:b/>
        </w:rPr>
        <w:t>E. 5.6</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ATA/790/2023 du 18 juillet 2023 consid. 3.8 ; ATA/1239/2021 du 16 novembre 2021 consid. 5a).![endif]&gt;![if&gt;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rPr>
          <w:b/>
        </w:rPr>
        <w:t>E. 5.7</w:t>
      </w:r>
    </w:p>
    <w:p>
      <w:r>
        <w:t>En procédure administrative, tant fédérale que cantonale, la constatation des faits est gouvernée par le principe de la libre appréciation des preuves (art. 20 al. 1 2 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 ATA/635/2023 du 13 juin 2023 consid. 3.7).![endif]&gt;![if&gt;</w:t>
      </w:r>
    </w:p>
    <w:p>
      <w:r>
        <w:rPr>
          <w:b/>
        </w:rPr>
        <w:t>E. 5.8</w:t>
      </w:r>
    </w:p>
    <w:p>
      <w:r>
        <w:t>En l'espèce, la recourante soutient que son activité a commencé le 1 er janvier 2016 et que le chiffre des affaires de CHF 180'575.- doit être divisé par deux, la première moitié correspond au montant pour 2016 et le second au montant pour 2017. Elle se réfère aux explications données dans son courrier du 28 août 2020 et estime avoir prouvé ce fait à satisfaction.![endif]&gt;![if&gt; Comme l'ont estimé à raison les premiers juges, on ne saurait lui donner raison sur ce point. Le contrat de sous-traitance du 2 janvier 2016, conclu avec une étude d'avocats de la place, régit une activité future et ne prouve aucunement qu'une activité concrète a été effectuée lors des dix premiers mois de l'année 2016. Seul le relevé d'honoraires du 20 janvier 2017, qu'a pris en compte l'autorité intimée pour effectuer son calcul, mentionne une activité déployée à partir du 1 er novembre 2016. L'annonce à des clients d'une inscription à venir au RC en tant que Sàrl ne permet pas davantage de prouver une quelconque activité facturée avant cette dernière date. Il convient en outre de rappeler que la recourante n'a fourni aucune pièce à la suite de la demande de renseignements de l'intimé du 16 novembre 2021, visant notamment à lui fournir une copie des mandats et notes d'honoraires portant sur les prestations fournies entre le 1 er janvier et le 31 décembre 2016, étant précisé que la recourante pouvait naturellement caviarder les noms de clients et les descriptions trop précises de prestations pour respecter le secret professionnel. Le fait que la société ait été formellement constituée comme société à responsabilité limitée plus tard qu'initialement prévu n'est enfin pas pertinent. C'est dès lors à juste titre que l'intimé a retenu un début d'activité le 1 er novembre 2016 et a calculé le chiffre des affaires de la première taxation sur cette base.</w:t>
      </w:r>
    </w:p>
    <w:p>
      <w:r>
        <w:rPr>
          <w:b/>
        </w:rPr>
        <w:t>E. 6</w:t>
      </w:r>
    </w:p>
    <w:p>
      <w:r>
        <w:t>La recourante invoque une violation du principe de l'égalité de traitement devant la loi.![endif]&gt;![if&gt;</w:t>
      </w:r>
    </w:p>
    <w:p>
      <w:r>
        <w:rPr>
          <w:b/>
        </w:rPr>
        <w:t>E. 6.1</w:t>
      </w:r>
    </w:p>
    <w:p>
      <w:r>
        <w:t>En tant qu’impôt, la TPC doit respecter les principes régissant l’imposition, notamment les principes de l’universalité, de l’égalité de traitement et de la capacité économique (art. 127 al. 2 de la Constitution fédérale de la Confédération suisse du 18 avril 1999 - Cst. - RS 101).![endif]&gt;![if&gt;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rPr>
          <w:b/>
        </w:rPr>
        <w:t>E. 6.2</w:t>
      </w:r>
    </w:p>
    <w:p>
      <w:r>
        <w:t>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6.1).![endif]&gt;![if&gt;</w:t>
      </w:r>
    </w:p>
    <w:p>
      <w:r>
        <w:rPr>
          <w:b/>
        </w:rPr>
        <w:t>E. 6.3</w:t>
      </w:r>
    </w:p>
    <w:p>
      <w:r>
        <w:t>La recourante se plaint d'une inégalité de traitement entre « avocats exerçant honnêtement leur profession et avocats dits d'affaires abusant systématiquement du secret professionnel », c'est-à-dire en l'occurrence entre contribuables déclarant leurs revenus et ceux pratiquant l'évasion fiscale. Ce grief est, comme l'a en d'autres termes retenu le TAPI, formulé de manière trop vague et générale pour qu'il y soit donné suite. En outre, la loi prend en compte cette différence de comportement en punissant l'évasion fiscale (art. 69 LPFisc). Adopter le raisonnement de la recourante – qui revient à vouloir être exonérée d'une obligation parce que certains administrés parviennent à s'y soustraire ou à échapper à la répression – aurait pour conséquence l'abolition non seulement de la TPC, mais du droit fiscal dans son ensemble, du droit pénal et plus généralement de toutes les normes visant au contrôle ou à la sanction des comportements des particuliers.![endif]&gt;![if&gt; Le grief sera écarté, si bien que le recours, entièrement mal fondé, sera rejeté.</w:t>
      </w:r>
    </w:p>
    <w:p>
      <w:r>
        <w:rPr>
          <w:b/>
        </w:rPr>
        <w:t>E. 7</w:t>
      </w:r>
    </w:p>
    <w:p>
      <w:r>
        <w:t>Vu l'issue du litige, un émolument de CHF 1'500.-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