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A/4266/2021 vom 3. Mai 2023</w:t>
      </w:r>
    </w:p>
    <w:p>
      <w:r>
        <w:t>GE Cour de justice, 2023-05-03, FR</w:t>
      </w:r>
    </w:p>
    <w:p>
      <w:r>
        <w:rPr>
          <w:b/>
        </w:rPr>
        <w:t xml:space="preserve">Quelle: </w:t>
      </w:r>
      <w:r>
        <w:t>https://mcp.opencaselaw.ch/entscheid/ge_gerichte_A_4266_2021</w:t>
      </w:r>
    </w:p>
    <w:p>
      <w:r>
        <w:t>FR: GE_GERICHTE A/4266/2021 du 3 mai 2023</w:t>
      </w:r>
    </w:p>
    <w:p>
      <w:r>
        <w:t>IT: GE_GERICHTE A/4266/2021 del 3 maggio 2023</w:t>
      </w:r>
    </w:p>
    <w:p>
      <w:pPr>
        <w:pStyle w:val="Heading2"/>
      </w:pPr>
      <w:r>
        <w:t>Erwägungen</w:t>
      </w:r>
    </w:p>
    <w:p>
      <w:r>
        <w:rPr>
          <w:b/>
        </w:rPr>
        <w:t>E. 10</w:t>
      </w:r>
    </w:p>
    <w:p>
      <w:r>
        <w:t>Le demandeur ayant droit à 730 indemnités journalières dès le 14 septembre 2020, premier jour d'incapacité de travail pour les atteintes en cause, il peut prétendre à ces prestations du 5 avril 2021 au 13 septembre 2022, soit pendant 537 jours, étant précisé que la défenderesse a accordé les indemnités journalières à 100% jusqu'au 4 avril 2021, selon son courrier du 23 mars 2021. Au montant de CHF 186.30 par jour, le demandeur a ainsi droit à des indemnités journalières de CHF100'043.10, somme dont il faut déduire les indemnités journalières à 50% payées du 5 au 30 avril 2020 (26 jours), soit CHF 2'421.90. Le total encore dû s'élève ainsi à CHF 97'621.20.![endif]&gt;![if&gt;</w:t>
      </w:r>
    </w:p>
    <w:p>
      <w:r>
        <w:rPr>
          <w:b/>
        </w:rPr>
        <w:t>E. 11</w:t>
      </w:r>
    </w:p>
    <w:p>
      <w:r>
        <w:t>Le demandeur réclame enfin des intérêts moratoires de 5% dès le 1 er juillet 2021.![endif]&gt;![if&gt;</w:t>
      </w:r>
    </w:p>
    <w:p>
      <w:r>
        <w:rPr>
          <w:b/>
        </w:rPr>
        <w:t>E. 11.1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![endif]&gt;![if&gt;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 / 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11.2</w:t>
      </w:r>
    </w:p>
    <w:p>
      <w:r>
        <w:t>En l'espèce, les conditions générales ne prévoient aucun terme pour l'exigibilité des prestations qui y sont stipulées. Il ressort par ailleurs du dossier que le demandeur a interpellé la défenderesse préalablement à sa demande en justice le 16 juin 2021. Conformément aux conclusions du demandeur, l’intérêt moratoire de 5% est donc dû dès le 1 er juillet 2021.![endif]&gt;![if&gt;</w:t>
      </w:r>
    </w:p>
    <w:p>
      <w:r>
        <w:rPr>
          <w:b/>
        </w:rPr>
        <w:t>E. 12</w:t>
      </w:r>
    </w:p>
    <w:p>
      <w:r>
        <w:t>Cela étant, la demande doit être admise pour l'essentiel et le demandeur mis au bénéfice des indemnités journalières contractuelles du 5 avril 2021 au 13 septembre 2022, après déduction des indemnités déjà versées durant cette période, d'un montant total de CHF 97'621.20, avec intérêt à 5% dès le 1 er juillet 2021, quatre semaines après leur exigibilité.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![endif]&gt;![if&gt; La valeur litigieuse, telle que définie par les conclusions du demandeur, s'élève à CHF 107'101.65, ce qui correspond à des dépens de CHF 11'326.- selon l'art. 85 al. 1 RTFMC. Toutefois, dans la mesure où le demandeur n'était pas assisté pendant toute la procédure (seulement dès la réplique du 31 mars 2022), les dépens doivent être réduites à CHF 9'000.- auxquels il convient d’ajouter la TVA (7,7%), de sorte que le montant total s’élève à CHF 9'693.- (art. 25 et 26 al. 1 de la loi d'application du code civil suisse et d’autres lois fédérales en matière civile du 11 octobre 2012 [LaCC - E 1 05] ; art. 84 et 85 RTFMC).</w:t>
      </w:r>
    </w:p>
    <w:p>
      <w:r>
        <w:rPr>
          <w:b/>
        </w:rPr>
        <w:t>E. 13</w:t>
      </w:r>
    </w:p>
    <w:p>
      <w:r>
        <w:t>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