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A/4262/2022 vom 1. Oktober 2024</w:t>
      </w:r>
    </w:p>
    <w:p>
      <w:r>
        <w:t>GE Cour de justice, 2024-10-01, FR</w:t>
      </w:r>
    </w:p>
    <w:p>
      <w:r>
        <w:rPr>
          <w:b/>
        </w:rPr>
        <w:t xml:space="preserve">Quelle: </w:t>
      </w:r>
      <w:r>
        <w:t>https://mcp.opencaselaw.ch/entscheid/ge_gerichte_A_4262_2022</w:t>
      </w:r>
    </w:p>
    <w:p>
      <w:r>
        <w:t>FR: GE_GERICHTE A/4262/2022 du 1 octobre 2024</w:t>
      </w:r>
    </w:p>
    <w:p>
      <w:r>
        <w:t>IT: GE_GERICHTE A/4262/2022 del 1 ottobre 2024</w:t>
      </w:r>
    </w:p>
    <w:p>
      <w:pPr>
        <w:pStyle w:val="Heading2"/>
      </w:pPr>
      <w:r>
        <w:t>Regeste</w:t>
      </w:r>
    </w:p>
    <w:p>
      <w:r>
        <w:t>OBJET DU LITIGE;DROIT FISCAL;IMPÔT;IMPÔT CANTONAL ET COMMUNAL;PRÉTENTION DE DROIT PUBLIC;IMPOSITION DANS LE TEMPS;IMPÔT SUR LE REVENU;REVENU DE LA FORTUNE IMMOBILIÈRE(DROIT FISCAL);DÉDUCTION DU REVENU(DROIT FISCAL);DÉDUCTION DES FRAIS D'ACQUISITION(DROIT FISCAL);PROCÉDURE FISCALE;PRESCRIPTION;ASSUJETTISSEMENT(IMPÔT);DÉCLARATION D'IMPÔT;TAXATION CONSÉCUTIVE À UNE PROCÉDURE;OUVERTURE DE LA PROCÉDURE;FARDEAU DE LA PREUVE;SOUSTRACTION D'IMPÔT;AMENDE;GARANTIE DE PROCÉDURE | Recours d’un contribuable soumis à l’impôt à la source contre le refus de l’AFC-GE de le taxer de manière ordinaire pour les années fiscales 2015 et 2019, au motif qu’il n’avait pas déposé de demande avant le délai légal prévu au 31 mars de l’année fiscale suivante, sa demande visant à une taxation ordinaire en raison de l’existence d’une fortune non déclarée datant de décembre 2020. Confirmation du jugement du TAPI qui a considéré que le recourant était forclos à demander une taxation ordinaire. Le nouveau droit, prévoyant une taxation ordinaire ultérieure obligatoire dans certains, entré en vigueur au 1er janvier 2021, ne s’applique pas aux années fiscales considérées. Enfin, la demande de déductions supplémentaires qui s’écartent du forfait prévu par l’impôt à la source était soumise au même délai fixé au 31 mars, non respecté non plus en l’espèce. Rejet du recours. | Cst.29.al2; aLIFD.137; aLIFD.138; aLIFD.91; aLIFD.120; aLIFD.99; aLHID.47; aLHID.32; aLHID.35; aLHID.33; OIS.15; OIS.16; LIPP.60.al2; LPFisc.22; LPFisc.55; LPFisc.38E; LIFD.83; LIFD.147; LIFD.124.al1; LISP.21; LISP.23</w:t>
      </w:r>
    </w:p>
    <w:p>
      <w:pPr>
        <w:pStyle w:val="Heading2"/>
      </w:pPr>
      <w:r>
        <w:t>Erwägungen</w:t>
      </w:r>
    </w:p>
    <w:p>
      <w:r>
        <w:rPr>
          <w:b/>
        </w:rPr>
        <w:t>E. 4</w:t>
      </w:r>
    </w:p>
    <w:p>
      <w:r>
        <w:t>Vu l'issue du litige, un émolument de CHF 700.-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