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A/425/2023 vom 1. Oktober 2024</w:t>
      </w:r>
    </w:p>
    <w:p>
      <w:r>
        <w:t>GE Cour de justice, 2024-10-01, FR</w:t>
      </w:r>
    </w:p>
    <w:p>
      <w:r>
        <w:rPr>
          <w:b/>
        </w:rPr>
        <w:t xml:space="preserve">Quelle: </w:t>
      </w:r>
      <w:r>
        <w:t>https://mcp.opencaselaw.ch/entscheid/ge_gerichte_A_425_2023</w:t>
      </w:r>
    </w:p>
    <w:p>
      <w:r>
        <w:t>FR: GE_GERICHTE A/425/2023 du 1 octobre 2024</w:t>
      </w:r>
    </w:p>
    <w:p>
      <w:r>
        <w:t>IT: GE_GERICHTE A/425/2023 del 1 ottobre 2024</w:t>
      </w:r>
    </w:p>
    <w:p>
      <w:pPr>
        <w:pStyle w:val="Heading2"/>
      </w:pPr>
      <w:r>
        <w:t>Erwägungen</w:t>
      </w:r>
    </w:p>
    <w:p>
      <w:r>
        <w:rPr>
          <w:b/>
        </w:rPr>
        <w:t>E. 2</w:t>
      </w:r>
    </w:p>
    <w:p>
      <w:r>
        <w:t>Le litige porte sur la décision de refus d’octroi de l’autorisation de séjour en faveur de la recourante et prononçant son renvoi de Suisse.</w:t>
      </w:r>
    </w:p>
    <w:p>
      <w:r>
        <w:rPr>
          <w:b/>
        </w:rPr>
        <w:t>E. 2.1</w:t>
      </w:r>
    </w:p>
    <w:p>
      <w:r>
        <w:t>Le 1 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w:t>
      </w:r>
    </w:p>
    <w:p>
      <w:r>
        <w:rPr>
          <w:b/>
        </w:rPr>
        <w:t>E. 2.3</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2.4</w:t>
      </w:r>
    </w:p>
    <w:p>
      <w:r>
        <w:t>Ces critères,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w:t>
      </w:r>
    </w:p>
    <w:p>
      <w:r>
        <w:rPr>
          <w:b/>
        </w:rPr>
        <w:t>E. 2.6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arrêt du Tribunal administratif fédéral F-6860/2016 du 6 juillet 2018 consid. 5.2.2 ; ATA/628/2023 du 13 juin 2023 consid. 3.5).</w:t>
      </w:r>
    </w:p>
    <w:p>
      <w:r>
        <w:rPr>
          <w:b/>
        </w:rPr>
        <w:t>E. 2.8</w:t>
      </w:r>
    </w:p>
    <w:p>
      <w:r>
        <w:t>En l’espèce, il n’est pas remis en cause que la recourante séjourne en Suisse depuis mars 2003, soit plus de 21 ans, ce qui constitue sans nul doute une très longue durée. De mars 2003 à octobre 2007, ce séjour s’est déroulé au bénéfice d’une autorisation de séjour de courte durée puis d'une autorisation de séjour pour études, limitées tant dans leur durée que dans leur finalité. Depuis le dépôt de sa demande en 2010, la recourante a séjourné en Suisse au bénéfice d’une tolérance, pendant l’examen de sa demande d'autorisation. Il résulte du dossier que la recourante a travaillé jusqu'en 2014 dans le domaine de l'économie domestique et que, depuis 2015, elle dépend de l'aide sociale pour subvenir à ses besoins. Elle a accumulé pendant son séjour en Suisse des dettes importantes, soit plus de CHF 50'000.-. Loin d’être exceptionnelle, son intégration économique et professionnelle doit donc être qualifiée de médiocre, quand bien même certaines de ses difficultés à partir de l'année 2020 sont dues à des circonstances indépendantes de sa volonté. La recourante a pu attester d'une maîtrise de la langue française suffisante, mais nullement exceptionnelle pour une personne ayant séjourné plus de 20 ans à Genève. En dehors de sa fille et de son frère qui vit à Genève, elle a noué des liens avec différentes personnes, dont certaines ont écrit en sa faveur des lettres de soutien. Eu égard cependant à la très longue durée de son séjour, on ne peut retenir que son intégration sociale serait exceptionnelle, ce d'autant plus qu'elle a été condamnée pénalement à deux reprises notamment pour des infractions contre l'intégrité physique (lésions corporelles simples). Les problèmes de santé de la recourante ne sont pas contestés. Ils ne revêtent toutefois pas le caractère de gravité requis par la jurisprudence pour pouvoir entrer en ligne de compte comme motif de reconnaissance d'un cas d'extrême gravité. S'agissant de la demande de rente AI dont se prévaut la recourante, celle-ci n'a donné, au cours de la présente instance, aucune indication concernant l'avancement de la procédure depuis l'attestation fournie au TAPI, datant de janvier 2023 et selon laquelle une demande de rente avait été déposée et était à l'examen. Rien ne laisse ainsi à penser en l'état que la recourante pourrait concrètement obtenir la rente AI convoitée. Pour ce qui est de sa réintégration, la recourante est arrivée en Suisse à l'âge de 34 ans. Elle a ainsi passé son enfance, son adolescence et une partie de sa vie d'adulte en Bolivie, pays dont elle maîtrise la langue ainsi que les us et coutumes. Ainsi, si la recourante se heurtera sans doute à des difficultés de réadaptation dans son pays d’origine, elle ne démontre pas que celles-ci seraient plus graves pour elle que pour n’importe laquelle de ses concitoyennes qui se trouverait dans une situation similaire. À juste titre, la recourante relève la longueur tout à fait exceptionnelle, et assurément excessive (douze ans) de l’examen par l’OCPM de la requête de prolongation d’autorisation de séjour qu’elle a déposée en août 2010. Un tel retard était cependant plutôt de nature à la favoriser, en lui permettant de demeurer en Suisse au bénéfice d’une tolérance et en lui donnant par là l’occasion de s’y intégrer. La recourante perd en outre de vue que selon la jurisprudence, un long délai de traitement et une violation du principe de célérité ne peuvent pas conduire à la délivrance d’une autorisation de séjour (arrêt du Tribunal fédéral 2C_529/2020 du 6 octobre 2020 consid. 5.1). À cela s’ajoute que le principe de la bonne foi impose au justiciable d’entreprendre ce qui est en son pouvoir pour que l’autorité fasse diligence, que ce soit en l’invitant à accélérer la procédure ou en recourant, le cas échéant, pour retard injustifié, car il serait contraire audit principe qu’il puisse valablement soulever ce grief devant l’autorité de recours alors qu’il n’a entrepris aucune démarche devant l’autorité afin de remédier à un manque de célérité (arrêt du Tribunal fédéral 2C_477/2020 du 17 juillet 2020 consid. 3.1 ; ATA/762/2024 du 25 juin 2024 consid. 3.1). Or, la recourante n’a en l’occurrence jamais mis en demeure l’OCPM de statuer sur sa demande ni recouru pour déni de justice, de telle sorte qu’elle ne saurait tirer argument d’une violation du principe de célérité.</w:t>
      </w:r>
    </w:p>
    <w:p>
      <w:r>
        <w:rPr>
          <w:b/>
        </w:rPr>
        <w:t>E. 3</w:t>
      </w:r>
    </w:p>
    <w:p>
      <w:r>
        <w:t>La recourante se plaint d’une violation de l’art. 8 CEDH, tant sous l'angle de la vie familiale que de la vie privée.</w:t>
      </w:r>
    </w:p>
    <w:p>
      <w:r>
        <w:rPr>
          <w:b/>
        </w:rPr>
        <w:t>E. 3.1</w:t>
      </w:r>
    </w:p>
    <w:p>
      <w:r>
        <w:t>Un étranger peut se prévaloir de l'art. 8 § 1 CEDH pour s'opposer à l'éventuelle séparation de sa famille. Selon le Tribunal fédéral,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 ATA/766/2024 du 25 juin 2024 consid. 2.9).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w:t>
      </w:r>
    </w:p>
    <w:p>
      <w:r>
        <w:rPr>
          <w:b/>
        </w:rPr>
        <w:t>E. 3.2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 ATF 144 I 266 ,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3.3</w:t>
      </w:r>
    </w:p>
    <w:p>
      <w:r>
        <w:t>En l'espèce, sous l'angle du droit au respect de la vie familiale, s’il est indéniable que la recourante entretient de liens personnels et affectifs avec sa famille en Suisse, en particulier avec sa fille, elle ne remplit pas les conditions très strictes auxquelles le droit à la protection de la vie familiale permet d’obtenir un titre de séjour. En effet, bien qu’atteinte dans sa santé, la recourante ne se trouve pas dans un état de dépendance de sa fille au sens de la jurisprudence. La recourante a certes des douleurs et des problèmes de mobilité affectant sa main et son bras gauche. Ces difficultés n’atteignent cependant pas un degré tel qu’elles nécessiteraient la présence quotidienne de proches. Elle ne fournit aucune attestation médicale selon laquelle une telle présence lui serait indispensable. Elle allègue que sa fille l'aide pour les courses, la cuisine et le ménage, mais rien ne dit que ces différentes tâches ne pourraient aucunement être effectuées par la recourante elle-même. Quant au droit au respect de la vie privée, la recourante ne peut pas se prévaloir d'un précédent séjour légal de dix ans. Il convient donc de se demander si elle entretient des relations privées de nature professionnelle ou sociale particulièrement intenses en Suisse, allant au-delà d'une intégration normale. Tel n'est clairement pas le cas, dès lors que, comme déjà examiné ci‑dessus, son intégration économique et professionnelle n'est pas bonne et se situe en deçà, et non au-delà, d'une intégration normale. Point n'est donc besoin de procéder à une pesée des intérêts en présence. Au vu de l’ensemble de ces éléments, l’OCPM n’a pas violé le droit ni abusé de son pouvoir d’appréciation en retenant que la recourante ne remplissait pas les conditions restrictives permettant l’octroi d’une autorisation de séjour pour cas de rigueur.</w:t>
      </w:r>
    </w:p>
    <w:p>
      <w:r>
        <w:rPr>
          <w:b/>
        </w:rPr>
        <w:t>E. 4</w:t>
      </w:r>
    </w:p>
    <w:p>
      <w:r>
        <w:t>Il convient encore d’examiner si le renvoi est fondé, la recourante concluant à titre subsidiaire à être mise au bénéfice d'une admission provisoire.</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dès lors qu'il a, à juste titre, refusé l’octroi d’une autorisation de séjour à la recourante, l'intimé devait en principe prononcer son renvoi. Les problèmes de santé de la recourante n'atteignent pas le degré de gravité prévu par la jurisprudence précitée pour entraîner l'inexigibilité de son renvoi ; en effet, si la recourante indique qu'elle aura prochainement besoin d'être réopérée de la main et qu'elle soutient qu'elle n'aurait pas accès aux soins en Bolivie, elle n'allègue pas que son état de santé lui ferait courir en cas de retour en Bolivie un risque imminent de mort ou de déclin grave, rapide et irréversible entraînant des souffrances intenses ou à une réduction significative de son espérance de vie. Mal fondé, le recours sera rejeté.</w:t>
      </w:r>
    </w:p>
    <w:p>
      <w:r>
        <w:rPr>
          <w:b/>
        </w:rPr>
        <w:t>E. 5</w:t>
      </w:r>
    </w:p>
    <w:p>
      <w:r>
        <w:t>Vu l'issue du recours,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