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A/425/2022 vom 7. März 2023</w:t>
      </w:r>
    </w:p>
    <w:p>
      <w:r>
        <w:t>GE Cour de justice, 2023-03-07, FR</w:t>
      </w:r>
    </w:p>
    <w:p>
      <w:r>
        <w:rPr>
          <w:b/>
        </w:rPr>
        <w:t xml:space="preserve">Quelle: </w:t>
      </w:r>
      <w:r>
        <w:t>https://mcp.opencaselaw.ch/entscheid/ge_gerichte_A_425_2022</w:t>
      </w:r>
    </w:p>
    <w:p>
      <w:r>
        <w:t>FR: GE_GERICHTE A/425/2022 du 7 mars 2023</w:t>
      </w:r>
    </w:p>
    <w:p>
      <w:r>
        <w:t>IT: GE_GERICHTE A/425/2022 del 7 marzo 2023</w:t>
      </w:r>
    </w:p>
    <w:p>
      <w:pPr>
        <w:pStyle w:val="Heading2"/>
      </w:pPr>
      <w:r>
        <w:t>Erwägungen</w:t>
      </w:r>
    </w:p>
    <w:p>
      <w:r>
        <w:rPr>
          <w:b/>
        </w:rPr>
        <w:t>E. 4</w:t>
      </w:r>
    </w:p>
    <w:p>
      <w:r>
        <w:t>Les 23 mai et 31 octobre 2022, la recourante a conclu à titre préalable à la suspension de la procédure jusqu’à droit jugé dans la procédure A/91/2022 portant sur sa réaffectation, l’arrêt prononcé le 12 avril 2022 en violation de l’obligation de coordination des procédures ayant fait l’objet d’un recours au Tribunal fédéral encore pendant.</w:t>
      </w:r>
    </w:p>
    <w:p>
      <w:r>
        <w:rPr>
          <w:b/>
        </w:rPr>
        <w:t>E. 4.1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4.2</w:t>
      </w:r>
    </w:p>
    <w:p>
      <w:r>
        <w:t>En l’espèce, la présente procédure ne dépend pas d’une question préjudicielle qui devrait être tranchée dans le cadre de la procédure A/91/2022. Il a été vu que les faits pertinents ont été définitivement établis par l’arrêt du 6 juillet 2021 annulant la première sanction. Ces mêmes faits ont été repris tels quels dans l’arrêt du 12 avril 2022 porté devant le Tribunal fédéral. Dans ce dernier arrêt, la chambre de céans a jugé que la réaffectation n’était pas une mesure disciplinaire déguisée et il sera vu plus loin que la même appréciation s’impose dans la présente procédure. Enfin, le principe de célérité commande de juger la procédure, dont l’instruction a déjà duré un an. Il ne sera pas donné suite à la demande de suspension.</w:t>
      </w:r>
    </w:p>
    <w:p>
      <w:r>
        <w:rPr>
          <w:b/>
        </w:rPr>
        <w:t>E. 5</w:t>
      </w:r>
    </w:p>
    <w:p>
      <w:r>
        <w:t>Dans un premier grief, de nature formelle, la recourante se plaint de la violation de son droit d’être entendue, faute pour l’intimé de lui avoir offert la possibilité de se déterminer sur la nouvelle sanction envisagée.</w:t>
      </w:r>
    </w:p>
    <w:p>
      <w:r>
        <w:rPr>
          <w:b/>
        </w:rPr>
        <w:t>E. 5.1</w:t>
      </w:r>
    </w:p>
    <w:p>
      <w:r>
        <w:t>Tel qu’il est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w:t>
      </w:r>
    </w:p>
    <w:p>
      <w:r>
        <w:rPr>
          <w:b/>
        </w:rPr>
        <w:t>E. 5.2</w:t>
      </w:r>
    </w:p>
    <w:p>
      <w:r>
        <w:t>En l’espèce, lors de l’entretien du 3 novembre 2021 consacré à la suite à donner à l’arrêt de la chambre de céans annulant la première sanction, le secrétaire général du DEE a indiqué à la recourante et à son conseil qu’il proposerait au Conseil d’État une sanction qui n’aurait pas de conséquences financières, pour éviter le sentiment de double sanction, mais qui tiendrait compte de la rupture de confiance. Au vu de la rupture de confiance, il considérait la recourante comme étant « en sursis ». Sur question du conseil de celle-ci, le secrétaire général avait confirmé qu’il envisageait de proposer le retour au statut d’employée. Lors de la réunion, la recourante et son conseil se sont exprimés à plusieurs reprises sur la réaffectation et les aspects financiers. À l’issue de la réunion, il a été convenu que l’OPE transmettrait au conseil de la recourante le procès-verbal de la séance accompagné du cahier des charges et de la feuille de calcul du salaire en lui demandant de transmettre ses observations d’ici à la fin du mois. Le 25 novembre 2021, la recourante s’est déterminée sur la nouvelle affectation que l’OPE envisageait de prononcer. Elle n’a pas évoqué la nouvelle sanction envisagée. La recourante a été informée de la nouvelle sanction ainsi que de sa motivation, qui tenait compte des conséquences financières pour éviter le sentiment de double sanction ainsi que la rupture de confiance et visait à la placer en sursis. L’occasion lui a été donnée de se déterminer lors de la séance, oralement, et après celle-ci, par écrit. Elle ne saurait se plaindre dans ces circonstances d’une violation de son droit d’être entendue. La chambre de céans observe que la recourante a bien compris la sanction et sa motivation puisqu’elle les a discutées dans ses écritures devant la chambre de céans. À cela s’ajoute que l’intimé a détaillé dans sa réponse au recours la motivation de la sanction querellée, donnant ainsi à la recourante la possibilité de critiquer son argumentation, de sorte que si une violation du droit d’être entendue de la recourante devait être retenue, elle aurait été guérie devant la chambre de céans. Le grief sera écarté.</w:t>
      </w:r>
    </w:p>
    <w:p>
      <w:r>
        <w:rPr>
          <w:b/>
        </w:rPr>
        <w:t>E. 6</w:t>
      </w:r>
    </w:p>
    <w:p>
      <w:r>
        <w:t>Dans un second grief de nature formelle, la recourante invoque la prescription de l’action disciplinaire. 6.1.1 Selon l’art. 27 al. 7 LPAC,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6.1.2 Dans le cas d’une fonctionnaire du département de l’instruction publique objet d’une procédure pénale et d’une sanction disciplinaire, la chambre de céans a jugé que le délai de prescription de l'art. 27 al. 7 LPAC ne pouvait être suspendu que pendant la durée de l'enquête administrative. Toute autre suspension pour un autre motif que celui expressément énoncé par la loi était exclue. Ainsi, la procédure pénale ouverte contre la recourante ne suspendait pas la prescription de la responsabilité disciplinaire ( ATA/215/2017 du 21 février 2017 consid. 15f). 6.1.3 Examinant le cas d’un enseignant dont la révocation par le Conseil d’État avait été annulée et qui recourait contre la nouvelle sanction qui lui avait été infligée par la même autorité, la chambre de céans a dû déterminer si la prescription avait couru durant la procédure contentieuse qui avait conduit au premier arrêt annulant la révocation. La chambre de céans est parvenue à la conclusion que le délai de prescription ne courait pas entre le dépôt de l’acte de recours et la date de reddition de l’arrêt, laissant indécise la question de savoir si la procédure judicaire avait suspendu le délai, avant de le faire repartir, ou avait fait repartir un nouveau délai, car sans incidence sur le cas examiné ( ATA/741/2021 du 13 juillet 2021 consid. 9).</w:t>
      </w:r>
    </w:p>
    <w:p>
      <w:r>
        <w:rPr>
          <w:b/>
        </w:rPr>
        <w:t>E. 6.2</w:t>
      </w:r>
    </w:p>
    <w:p>
      <w:r>
        <w:t>En l’espèce, il n’y a pas lieu de s’écarter de cette jurisprudence. La chambre de céans a établi et les parties ne contestent pas, que les faits ont été connus par l’autorité entre le 30 janvier et le 5 février 2020, et que la prescription a été interrompue du 5 février 2020 jusqu’à la remise du rapport par l’enquêtrice le 31 juillet 2020. Il suit de là que la prescription a couru du 31 juillet au 14 octobre 2020, date du prononcé de la première sanction. La prescription a ensuite été suspendue durant la première procédure contentieuse, soit dès le 16 novembre 2020 et jusqu’à l’arrêt de la chambre de céans du 6 juillet 2021 ayant annulé la révocation. La question de savoir si la prescription a recommencé à courir entre la reddition de l’arrêt et le prononcé de la nouvelle sanction peut demeurer indécise en l’espèce, la prescription annale n’étant en toute hypothèse pas atteinte, étant rappelé que la prescription a à nouveau été suspendue durant la (seconde) procédure contentieuse ayant conduit au présent arrêt. La prescription absolue est soumise aux mêmes principes. L’art. 27 al. 7 LPAC prévoit en effet la même suspension sans distinguer entre prescription relative et absolue et les principes développés par la chambre de céans au sujet de la procédure contentieuse s’appliquent pareillement aux deux prescriptions, à peine de vider de son sens l’action disciplinaire ( ATA/508/2022 du 17 mai 2022 consid. 10. Les faits remontent au 23 novembre 2015 pour l’EEDP et au 11 décembre 2018 pour l’EEDM. Le défaut de formation s’étend quant à lui jusqu’à la suspension de la recourante, le 2 février 2020. La prescription absolue a cessé de courir durant l’enquête administrative, du 5 février au 31 juillet 2020, puis la première procédure contentieuse, du 16 novembre 2020 au 6 juillet 2021 et enfin la seconde procédure contentieuse, du 31 janvier 2022 à ce jour. Ainsi, que la dernière violation, soit le dies a quo, remonte à février 2020 ou décembre 2018, la prescription absolue n’est de loin pas atteinte. Le grief sera écarté.</w:t>
      </w:r>
    </w:p>
    <w:p>
      <w:r>
        <w:rPr>
          <w:b/>
        </w:rPr>
        <w:t>E. 7</w:t>
      </w:r>
    </w:p>
    <w:p>
      <w:r>
        <w:t>Dans un troisième grief, la recourante se plaint de la violation du principe ne bis in idem .</w:t>
      </w:r>
    </w:p>
    <w:p>
      <w:r>
        <w:rPr>
          <w:b/>
        </w:rPr>
        <w:t>E. 7.1</w:t>
      </w:r>
    </w:p>
    <w:p>
      <w:r>
        <w:t>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 ème éd., 2018, n. 1206). La chambre de céans a jugé, dans le cas d’un fonctionnaire de la ville de Genève, qu’un changement d’affectation résultant d’une violation d’un devoir de service peut constituer une mesure moins incisive qu’un licenciement pour motif fondé, étant précisé qu’un manquement grave ou répété aux devoirs de service est un des motifs objectivement fondés prévu par le statut. Un tel changement d’affectation peut dès lors, quand bien même il serait ressenti comme une sanction, constituer une mesure administrative susceptible d’être prise à l’égard d’un employé, même – le cas échéant – en sus d’une sanction disciplinaire prévue par la loi, et ce dans le respect du principe ne bis in idem ( ATA/1134/2020 du 11 mai 2021 consid. 4b ; ATA/114/2021 du 2 février 2021 consid. 3b).</w:t>
      </w:r>
    </w:p>
    <w:p>
      <w:r>
        <w:rPr>
          <w:b/>
        </w:rPr>
        <w:t>E. 7.2</w:t>
      </w:r>
    </w:p>
    <w:p>
      <w:r>
        <w:t>En l’espèce, la recourante se plaint d’avoir été sanctionnée deux fois pour les mêmes agissements. Elle ne saurait être suivie. Dans l’arrêt ATA/389/2022 du 12 avril 2022 rejetant le recours contre la réaffectation, la chambre de céans a jugé que celle-ci avait pour objectif de restaurer une situation conforme au droit et d’assigner la recourante à une fonction correspondant à ses qualifications et son expérience et ne pouvait pour ces motifs correspondre à une sanction disciplinaire, même déguisée. Il n’y a pas lieu de s’écarter de ce raisonnement. La sanction querellée dans la présente espèce poursuit d’autres buts et vise notamment l’amendement de la recourante et se distingue clairement pour ce motif de la réaffectation. Le grief sera écarté.</w:t>
      </w:r>
    </w:p>
    <w:p>
      <w:r>
        <w:rPr>
          <w:b/>
        </w:rPr>
        <w:t>E. 8</w:t>
      </w:r>
    </w:p>
    <w:p>
      <w:r>
        <w:t>Dans un quatrième grief, la recourante se plaint de la violation de la loi et du principe de la bonne foi, de l’appréciation arbitraire des preuves et d’un abus du pouvoir d’appréciation. 8.1.1 Les membres du personnel sont tenus au respect de l’intérêt de l’État et doivent s’abstenir de tout ce qui peut lui porter préjudice (art. 20 RPAC). Les membres du personnel se doivent notamment, par leur attitude d’entretenir des relations dignes et correctes avec leurs supérieurs, leurs collègues et leurs subordonnés; de permettre et de faciliter la collaboration entre ces personnes (let. a) et de justifier et de renforcer la considération et la confiance dont la fonction publique doit être l’objet (let. c ; art. 21 RPAC). Les membres du personnel se doivent de remplir tous les devoirs de leur fonction consciencieusement et avec diligence (art. 22 RPAC). Les membres du personnel chargés de fonctions d’autorité sont notamment tenus, en outre de diriger leurs subordonnés, d’en coordonner et contrôler l’activité (let. b) et de veiller à la protection de la personnalité des membres du personnel (let. f ; art. 23 RPAC). Le règlement sur les cadres intermédiaires de l'administration cantonale du 23 septembre 1981 (RCIAC - B 5 05.06) confère à ces derniers des fonctions qui impliquent seulement une responsabilité d'encadrement du personnel ou d'exercice d'une influence fonctionnelle ( ATA/538/2014 du 17 juillet 2014 consid. 6b). L’art. 3 al. 1 du règlement sur les cadres supérieurs de l’administration cantonale du 22 décembre 1975 (RC SAC - B 5.05.03) prévoit que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8.1.2 Selon l'art. 16 al. 1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 8.1.3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op.cit., n. 55 p. 14).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(Gabriel BOINAY, op. cit., n. 50 p. 14).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précité consid. 4.2.2 et les références citées). Un fonctionnaire a, pendant et en dehors de son travail,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(arrêt du Tribunal fédéral 8C_252/2018 du 29 janvier 2019 consid. 5.2). 8.1.4 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w:t>
      </w:r>
    </w:p>
    <w:p>
      <w:r>
        <w:rPr>
          <w:b/>
        </w:rPr>
        <w:t>E. 8.2</w:t>
      </w:r>
    </w:p>
    <w:p>
      <w:r>
        <w:t>La recourante fait grief au Conseil d’État de lui reprocher d’avoir modifié les EEDP et EEDM litigieux, d’avoir manqué à son obligation de formation et de maintien d’un haut niveau de qualification et de n’avoir pas évoqué la question de la levée du code spontanément et activement. Aucune faute ne lui serait imputable. Ce faisant, la recourante substitue sa propre version des événements aux faits établis de manière définitive par la chambre de céans dans son arrêt du 6 juillet 2021 et repris dans son arrêt du 12 avril 2022. La chambre de céans a notamment retenu en 2021 que plusieurs fautes étaient établies à son encontre et qu’il pouvait lui être reproché, principalement, d’avoir complété l’EEDP et l’EEDM, de ne pas avoir attiré l’attention de ses supérieurs sur ces modifications, de ne pas avoir évoqué la problématique du code 9 avec eux ou à tout le moins vérifié qu’ils en avaient connaissance, d’avoir considéré à tort que le seul écoulement du temps lui permettrait d’obtenir la levée de code sans satisfaire à l’exigence de formation et d’avoir obtenu le paiement d’un traitement supérieur à celui auquel elle aurait eu droit, à partir du 1 er janvier 2019, date à laquelle elle aurait dû être titulaire d’une formation universitaire ou jugée équivalente selon le plan de formation. L’intimé pouvait, sans arbitraire ni abus de son pouvoir d’appréciation, considérer que ces faits étaient établis et les reprendre tels quels à l’appui de la nouvelle sanction qu’il prononçait. Le grief sera écarté.</w:t>
      </w:r>
    </w:p>
    <w:p>
      <w:r>
        <w:rPr>
          <w:b/>
        </w:rPr>
        <w:t>E. 9</w:t>
      </w:r>
    </w:p>
    <w:p>
      <w:r>
        <w:t>Dans un cinquième grief, la recourante se plaint de la violation du principe d’égalité de traitement.</w:t>
      </w:r>
    </w:p>
    <w:p>
      <w:r>
        <w:rPr>
          <w:b/>
        </w:rPr>
        <w:t>E. 9.1</w:t>
      </w:r>
    </w:p>
    <w:p>
      <w:r>
        <w:t>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rPr>
          <w:b/>
        </w:rPr>
        <w:t>E. 9.2</w:t>
      </w:r>
    </w:p>
    <w:p>
      <w:r>
        <w:t>En l’espèce, la recourante se plaint d’avoir été « de facto pénalisée, à tout le moins partiellement, en raison du manquement par ses supérieurs à leurs propres obligations élémentaires de prendre connaissance des dossiers de leurs subordonnés ». Elle serait placée dans une situation moins favorable que les autres employés de l’État soumis à des supérieurs accomplissant correctement leurs devoirs. La chambre de céans annulant la première sanction, puis l’intimé prononçant la nouvelle sanction, ont tenu compte des négligences des supérieurs de la recourante pour exclure la tromperie et conclure au caractère disproportionnée de la révocation. Cela étant, la recourante ne rend pas vraisemblable que d’autres employés de l’État, placés par hypothèse dans une situation identique, ne seraient pas traités de la même manière. La recourante se plaint encore de ce que ses supérieurs n’auraient pas été sanctionnés. Elle perd de vue que leur situation ne se laisse pas comparer à la sienne, de sorte que la principe d’égalité de traitement ne lui est d’aucun secours. Le grief sera écarté.</w:t>
      </w:r>
    </w:p>
    <w:p>
      <w:r>
        <w:rPr>
          <w:b/>
        </w:rPr>
        <w:t>E. 10</w:t>
      </w:r>
    </w:p>
    <w:p>
      <w:r>
        <w:t>Dans un dernier grief, la recourante se plaint de la violation du principe de proportionnalité.</w:t>
      </w:r>
    </w:p>
    <w:p>
      <w:r>
        <w:rPr>
          <w:b/>
        </w:rPr>
        <w:t>E. 10.1</w:t>
      </w:r>
    </w:p>
    <w:p>
      <w:r>
        <w:t>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ATA/137/2020 précité ; ATA/118/2016 du 9 février 2016). En particulier, elle doit tenir compte de l’intérêt du recourant à poursuivre l’exercice de son métier, mais elle doit aussi veiller à la protection de l’intérêt public ( ATA/694/2015 du 30 juin 2015). 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rPr>
          <w:b/>
        </w:rPr>
        <w:t>E. 10.2</w:t>
      </w:r>
    </w:p>
    <w:p>
      <w:r>
        <w:t>En l’espèce, dans son arrêt du 5 juillet 2021, la chambre de céans a annulé la révocation, qu’elle jugeait disproportionnée. Elle a considéré qu’au vu de l'ensemble des circonstances, s'il était indéniable que les manquements commis méritaient sanction et qu’il devait être tenu compte du fait que la recourante était cadre supérieure et travaillait dans un domaine où la confiance régnait entre les personnes du service, la révocation, qui constituait la sanction la plus lourde, avec effet immédiat, était excessive compte tenu des éléments à décharge de la fonctionnaire, non évoqués et non pris en compte par la décision querellée. En outre, la recourante avait de bonnes évaluations malgré un antécédent, soit un blâme infligé en automne 2019 pour l’envoi erroné d’un courriel. Enfin, elle avait exercé son activité au sein de l’État pendant vingt-cinq ans au moment des faits litigieux. L’intimé a infligé à la recourante la sanction du retour au statut d’employée, soit la seconde sanction la plus sévère prévue par la loi. Cette sanction est fondée sur les faits tels qu’établis par l’arrêt de juillet 2021. Elle cite d’importants manquements aux devoirs de service par la recourante, de sorte que le lien de confiance avec l’employeur était sérieusement ébranlé, de même que la confiance que les administrés doivent pouvoir placer dans l’intégrité du processus d’évaluation des prestations des membres du personnel de l’État, la pérennité du niveau élevé des qualifications professionnelles des hauts fonctionnaires et le bien-fondé de leur niveau de rémunération. Elle indique tenir compte de ce que la recourante disposait de plus de vingt-cinq ans d’ancienneté de même que de bonnes évaluations et qu’elle avait fait l’objet d’un blâme en 2019 pour l’envoi erroné d’un courriel. Elle ne tient pas compte de la volonté de tromper, écartée par la chambre de céans. L’intimé a expliqué le 3 novembre 2021 avoir choisi une sanction qui n’aurait pas de conséquences financières, pour éviter le sentiment de double sanction, mais qui tiendrait compte de la rupture de confiance. Il considérait la recourante comme étant « en sursis ». Enfin, l’intimé a limité à deux ans le retour au statut d’employé, alors que la loi prévoit une période pouvant aller jusqu’à trois ans. Dans ses écritures devant la chambre de céans, il ajoute que la recourante n’avait aucunement pris la mesure de ses manquements, persistant à affirmer dans son recours que les ajouts qu’elle avait effectués n’étaient pas critiquables. L’effet préventif spécial visant à l’amender ne pouvait être obtenu autrement que par le retour au statut d’employée. Le lien de confiance avait été sérieusement ébranlé et il appartenait à la recourante de regagner la confiance de son employeur. Une autre sanction ne serait pas à même d’atteindre ces buts. Ce raisonnement ne prête pas le flanc à la critique et n’est, en particulier, pas constitutif d’un abus du pouvoir d’appréciation de l’intimé. Le prononcé d’un blâme pouvait d’emblée être écarté vu la gravité des fautes commises. Quant à la suspension d'augmentation du traitement pendant une durée déterminée ou la réduction de traitement à l'intérieur de la classe, soit les deux sanctions immédiatement inférieures au retour au statut d’employée, outre qu’elle apparaissent excessivement clémentes au regard du poids des manquements sanctionnés, on ne voit pas qu’elles seraient susceptibles d’inciter la recourante à s’amender, soit à prendre conscience des fautes commises et modifier son attitude et son comportement en conséquence, à la faveur de la précarisation temporaire de son statut. À ce propos, la recourante, qui persiste à exclure toute faute de sa part et à incriminer sa hiérarchie, paraît ne pas avoir pris la pleine mesure de l’arrêt du 6 juillet 2021, qui lui a certes donné raison sur l’absence de dessein de tromperie et la disproportion de la sanction, mais qui a également retenu la commission de plusieurs fautes et le bien-fondé du principe d’une sanction. Le grief sera écarté. Entièrement mal fondé, le recours sera rejeté.</w:t>
      </w:r>
    </w:p>
    <w:p>
      <w:r>
        <w:rPr>
          <w:b/>
        </w:rPr>
        <w:t>E. 11</w:t>
      </w:r>
    </w:p>
    <w:p>
      <w:r>
        <w:t>Vu l’issue du litige, un émolument de CHF 1’500.-, tenant compte du nombre des écritures, sera mis à la charge de la recourante (art. 87 al. 1 LPA) et aucune indemnité de procédure ne lui sera allouée (art. 87 al. 2 LPA). La recourante n’a pas pris de conclusions pécuniaires. Les conséquences de la sanction ne comportent, selon la volonté de l’intimé, pas d’effets financiers. La valeur litigieuse est ainsi difficile à estimer (art. 51 al. 1 let. a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