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A/4259/2007 vom 14. April 2008</w:t>
      </w:r>
    </w:p>
    <w:p>
      <w:r>
        <w:t>GE Cour de justice, 2008-04-14, FR</w:t>
      </w:r>
    </w:p>
    <w:p>
      <w:r>
        <w:rPr>
          <w:b/>
        </w:rPr>
        <w:t xml:space="preserve">Quelle: </w:t>
      </w:r>
      <w:r>
        <w:t>https://mcp.opencaselaw.ch/entscheid/ge_gerichte_A_4259_2007</w:t>
      </w:r>
    </w:p>
    <w:p>
      <w:r>
        <w:t>FR: GE_GERICHTE A/4259/2007 du 14 avril 2008</w:t>
      </w:r>
    </w:p>
    <w:p>
      <w:r>
        <w:t>IT: GE_GERICHTE A/4259/2007 del 14 aprile 2008</w:t>
      </w:r>
    </w:p>
    <w:p>
      <w:pPr>
        <w:pStyle w:val="Heading2"/>
      </w:pPr>
      <w:r>
        <w:t>Regeste</w:t>
      </w:r>
    </w:p>
    <w:p>
      <w:r>
        <w:t>AI(ASSURANCE); MOYEN DE PREUVE; EXPERTISE; EXPERTISE MÉDICALE; SUREXPERTISE; EXPERTISE PSYCHIATRIQUE; FORCE PROBANTE; INTERPRÈTE; LANGUE MATERNELLE; LANGUE ; FIBROMYALGIE ; TROUBLE SOMATOFORME DOULOUREUX | L'expertise sur laquelle s'est fondée l'OCAI n'était pas probante, car la recourante ne s'exprimait pas assez bien en français et un interprète, pour la partie psychiatrique en tout cas, aurait dû intervenir.</w:t>
      </w:r>
    </w:p>
    <w:p>
      <w:pPr>
        <w:pStyle w:val="Heading2"/>
      </w:pPr>
      <w:r>
        <w:t>Erwägungen</w:t>
      </w:r>
    </w:p>
    <w:p>
      <w:r>
        <w:rPr>
          <w:b/>
        </w:rPr>
        <w:t>E. 10</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En l'espèce figure au dossier une expertise du CEM concluant à une capacité de travail totale de la recourante dans une activité légère, par exemple de bureau. S'agissant de la valeur probante de cette expertise, il convient de relever que la recourante a indiqué qu'elle n'avait pas bien compris les questions de l'expert psychiatre en raison de son manque de compréhension de la langue française et que celui-ci ne comprenait pas l'anglais. A cet égard, le Tribunal de céans a pu se convaincre, lors de l'audience de comparution personnelle des parties, que la recourante, accompagnée d'une interprète, ne maîtrise pas suffisamment la langue française pour qu'une expertise psychiatrique menée dans cette langue puisse revêtir une valeur probante. Par ailleurs, le Dr F_________, du CEM, n'a pas répondu à la question du Tribunal s'agissant de la compréhension de la langue anglaise par le Dr G_________. Il en découle également qu'il subsiste un doute sur le fait que les interventions de la recourante effectuées en anglais (cf. rapport d'expertise p. 13) aient été correctement comprises par l'expert. Dans ces conditions, l'intimé ne pouvait se fonder valablement sur l'expertise psychiatrique du CEM. Il incombe dès lors à l'intimé de procéder à une instruction complémentaire par le biais d'une expertise psychiatrique, soit auprès d'un expert maîtrisant parfaitement l'anglais, soit auprès d'un autre expert, avec l'aide d'un interprète. Quant au volet somatique de l'expertise du CEM, il convient de relever que, contrairement aux Drs A_________, B_________ et au service de rhumatologie des HUG, la Dresse E_________ a écarté le diagnostic de fibromyalgie. Lors de l'examen clinique du 7 décembre 2006, l'experte relève que tous les points de fibromyalgie sont positifs à la palpation, mais parfois absents lors de la palpation à l'attention déviée (cf. expertise p. 11), que les douleurs à la pression et notamment à la palpation dépassent largement la topographie habituelle des points de fibromyalgie et que les douleurs sont beaucoup moins intenses lors de l'examen effectué avec attention déviée, que le diagnostic de fibromyalgie n'est finalement pas retenu car les critères ne sont pas remplis, en particulier les points de fibromyalgie ne sont pas retrouvés lors de l'examen à l'attention déviée, que la topographie des douleurs à la pression et à la palpation est très diffuse et qu'il y a plusieurs contradictions dans la description des autres symptômes accompagnants (cf. expertise p. 15). Le Tribunal de céans constate que l'experte admet la présence de tous les points positifs de la fibromyalgie, même si elle relève qu'à l'attention déviée, la douleur est moins intense et que certains points ne sont pas retrouvés. Compte tenu du diagnostic de fibromyalgie clairement posé par des spécialistes en rhumatologie soit le service de rhumatologie des HUG et le Dr A_________ et du fait que tous les points de fibromyalgie n'ont pas besoin d'être tous présents pour que ce diagnostic soit reconnu (ATF du 25 mai 2007 I 512 /06 consid. 3, 4), il subsiste un doute quant à la conclusion de l'expertise somatique excluant totalement ce diagnostic. Cependant, comme l'a relevé l'intimé, même si le diagnostic de fibromyalgie était retenu, il conviendrait encore d'examiner si les critères jurisprudentiels posés dans l'arrêt du Tribunal Fédéral des Assurances précité sont remplis, la fibromyalgie étant assimilée au trouble somatoforme, plus particulièrement au syndrome douloureux somatoforme persistant (ATF du 20 avril 2006, I 805/04, ATF 132 V 65 ). Or, à cet égard, les questions médicales pertinentes pour l'évaluations des critères jurisprudentiels précités pourront être posées dans le cadre de l'expertise psychiatrique à ordonner. En conséquence, point n'est besoin, en l'état, d'ordonner une nouvelle expertise rhumatologique, afin de déterminer s'il existe ou non un diagnostic de fibromyalgie. Au vu de ce qui précède, le recours sera partiellement admis, la décision litigieuse annulée et la cause renvoyée à l'intimé pour instruction complémentaire dans le sens des considérants.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500 fr. sera mis à la charge de l'intimé. Par ailleurs, une indemnité de 1'000 fr. sera allouée à la recourante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