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A/4252/2016 vom 16. September 2016</w:t>
      </w:r>
    </w:p>
    <w:p>
      <w:r>
        <w:t>GE Cour de justice, 2016-09-16, FR</w:t>
      </w:r>
    </w:p>
    <w:p>
      <w:r>
        <w:rPr>
          <w:b/>
        </w:rPr>
        <w:t xml:space="preserve">Quelle: </w:t>
      </w:r>
      <w:r>
        <w:t>https://mcp.opencaselaw.ch/entscheid/ge_gerichte_A_4252_2016</w:t>
      </w:r>
    </w:p>
    <w:p>
      <w:r>
        <w:t>FR: GE_GERICHTE A/4252/2016 du 16 septembre 2016</w:t>
      </w:r>
    </w:p>
    <w:p>
      <w:r>
        <w:t>IT: GE_GERICHTE A/4252/2016 del 16 settembre 2016</w:t>
      </w:r>
    </w:p>
    <w:p>
      <w:pPr>
        <w:pStyle w:val="Heading2"/>
      </w:pPr>
      <w:r>
        <w:t>Volltext</w:t>
      </w:r>
    </w:p>
    <w:p>
      <w:r>
        <w:t>Genève Cour de justice (Cour de droit public) Chambre des assurances sociales 09.01.2017 A/4252/2016</w:t>
      </w:r>
    </w:p>
    <w:p>
      <w:r>
        <w:t>A/4252/2016 ATAS/2/2017 du 09.01.2017 ( LAMAL ) rÉpublique et canton de genÈve POUVOIR JUDICIAIRE A/4252/2016 ATAS/2/2017 COUR DE JUSTICE Chambre des assurances sociales Arrêt incident du 9 janvier 2017 1 ère Chambre En la cause Madame A______, domiciliée à VERSOIX recourante contre INTRAS ASSURANCE MALADIE SA, Droit &amp; Compliance, sise Tribschenstrasse 21, LUZERN intimée Attendu en fait que Madame A______ est assurée auprès d’INTRAS ASSURANCE MALADIE SA (ci-après l’assureur) pour l’assurance obligatoire des soins ; que l’assureur a pris en charge le traitement de substitution avec prescription de Méthadone suivi par l’assurée ; Que par décision du 16 septembre 2016, confirmée sur opposition le 10 novembre 2016, l’assureur a en revanche refusé la prise en charge de comprimés de Dormicum au-delà de la posologie admise par Swissmedic ; Que l’assurée a interjeté recours le 12 décembre 2016 contre ladite décision ; qu’elle conclut à ce que l’assureur soit condamné à prendre en charge toutes les prescriptions émanant de son médecin, le docteur B______, en relation avec son traitement de substitution ; qu’elle sollicite par ailleurs la restitution de l’effet suspensif, considérant que la décision de l’assureur constitue pour elle une interruption abrupte de son traitement, alors que selon un principe général, la diminution du dosage doit être effectuée soigneusement et ne doit pas avoir lieu trop rapidement ; Que dans sa réponse du 19 décembre 2016, l’assureur a constaté que l’effet suspensif avait été retiré en cas d’opposition, mais ne l’avait pas été en cas de recours ; qu’il ajoute que lorsque la décision porte sur un refus de prendre en charge des prestations, la question de l’effet suspensif est sans intérêt, puisque la suspension d’un refus n’implique pas que la caisse soit tenue d’exécuter la prestation ; que l’assureur s’en rapporte dès lors à justice ; Que les parties ont été informées que la cause était gardée à juger sur la question de l’effet suspensif ; Considérant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le litige porte sur le droit de l’assurée à la prise en charge par l’assureur de comprimés de Dormicum au-delà de la posologie admise par Swissmedic ; Que l’assurée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force est de constater qu’en l'espèce, l’assureur n'a pas retiré l'effet suspensif à un éventuel recours, de sorte que la demande de rétablissement de l'effet suspensif doit pour ce motif être considérée comme étant sans objet ; qu’il importe toutefois de souligner qu’une telle conclusion ne signifie pas que l’assureur devrait assumer le coût du traitement de Dormicum tel que prescrit par le médecin en attendant l’issue de la procédure de recours, s’agissant d’une décision refusant l’octroi de prestations, puisque les effets d’une telle décision ne sont précisément pas susceptibles d’être suspendus pendant une procédure de recours (cf. notamment arrêt du Tribunal fédéral 8C 339/2009) ; Que la demande visant à ce que l’effet suspensif soit rétabli est en conséquence sans objet ; PAR CES MOTIFS, LA CHAMBRE DES ASSURANCES SOCIALES : Statuant sur incident À la forme : 1.        Déclare le recours recevable.![endif]&gt;![if&gt; Au fond : 2.        Constate que la demande visant à la restitution de l’effet suspensif est sans objet.![endif]&gt;![if&gt; 3.        Réserve la suite de la procédure.![endif]&gt;![if&gt;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