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A/4244/2024 vom 22. April 2025</w:t>
      </w:r>
    </w:p>
    <w:p>
      <w:r>
        <w:t>GE Cour de justice, 2025-04-22, FR</w:t>
      </w:r>
    </w:p>
    <w:p>
      <w:r>
        <w:rPr>
          <w:b/>
        </w:rPr>
        <w:t xml:space="preserve">Quelle: </w:t>
      </w:r>
      <w:r>
        <w:t>https://mcp.opencaselaw.ch/entscheid/ge_gerichte_A_4244_2024</w:t>
      </w:r>
    </w:p>
    <w:p>
      <w:r>
        <w:t>FR: GE_GERICHTE A/4244/2024 du 22 avril 2025</w:t>
      </w:r>
    </w:p>
    <w:p>
      <w:r>
        <w:t>IT: GE_GERICHTE A/4244/2024 del 22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la question de savoir si le recourant peut bénéficier d’une remise de l’obligation de rembourser CHF 4'584.-.</w:t>
      </w:r>
    </w:p>
    <w:p>
      <w:r>
        <w:rPr>
          <w:b/>
        </w:rPr>
        <w:t>E. 3.1.1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3.1.2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3.1.3</w:t>
      </w:r>
    </w:p>
    <w:p>
      <w:r>
        <w:t>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 re phrase LPGA et des dispositions particulières et, le cas échéant, une troisième décision sur la remise de l'obligation de restituer au sens de l'art. 25 al. 1, 2 e phrase LPGA ( cf . art. 3 et 4 OPGA ; arrêt du Tribunal fédéral 9C_678/2011 du 4 janvier 2012 consid. 5.1.1 et 5.2). Le délai de 30 jours prévu par l'art. 4 al. 4 OPGA pour le dépôt de la demande de remise est un délai d'ordre et non un délai de péremption (ATF 132 V 42 consid. 3).</w:t>
      </w:r>
    </w:p>
    <w:p>
      <w:r>
        <w:rPr>
          <w:b/>
        </w:rPr>
        <w:t>E. 3.2.1</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w:t>
      </w:r>
    </w:p>
    <w:p>
      <w:r>
        <w:rPr>
          <w:b/>
        </w:rPr>
        <w:t>E. 3.2.2</w:t>
      </w:r>
    </w:p>
    <w:p>
      <w:r>
        <w:t>Selon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3.3</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w:t>
      </w:r>
    </w:p>
    <w:p>
      <w:r>
        <w:rPr>
          <w:b/>
        </w:rPr>
        <w:t>E. 3.3.1</w:t>
      </w:r>
    </w:p>
    <w:p>
      <w:r>
        <w:t>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du Tribunal fédéral 8C_441/2023 du 21 décembre 2023 consid. 3.2.2 et la référence). A en particulier été niée la bonne foi d’une bénéficiaire de prestations complémentaires qui avait omis d’annoncer une rente AI versée à son conjoint, dont une partie était versée avec effet rétroactif : la bonne foi a été niée pour la période postérieure à la décision d’octroi de la rente AI ; en effet, à compter de la date de versement de la rente, la bénéficiaire avait pu prendre connaissance de la décision d’octroi de rente à son époux et aisément se rendre compte que l’existence d’un revenu supplémentaire dans le couple était de nature à influencer son droit aux prestations complémentaires ; il lui incombait dès lors d’informer immédiatement la caisse de cette nouvelle situation (arrêt du Tribunal fédéral 8C_766/2007 du 17 avril 2008 consid. 4.3).</w:t>
      </w:r>
    </w:p>
    <w:p>
      <w:r>
        <w:rPr>
          <w:b/>
        </w:rPr>
        <w:t>E. 3.3.2</w:t>
      </w:r>
    </w:p>
    <w:p>
      <w:r>
        <w:t>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1387 V 218 consid. 4 ; 112 V 97 consid. 2c ; arrêts du Tribunal fédéral 9C_16/2019 précité consid. 4 ; 9C_14/2007 du 2 mai 2007 consid. 4 ; DTA 2003 n. 29 p. 260 consid. 1.2 et les références ; RSAS 1999 p. 384 ; Ueli KIESER, Kommentar zum Bundesgesetz über den Allgemeinen Teil des Sozialversicherungsrechts - ATSG, 2020, n. 65 ad art. 25 LPGA).</w:t>
      </w:r>
    </w:p>
    <w:p>
      <w:r>
        <w:rPr>
          <w:b/>
        </w:rPr>
        <w:t>E. 3.4</w:t>
      </w:r>
    </w:p>
    <w:p>
      <w:r>
        <w:t>Conformément à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L'art. 16 RPCC-AVS/AI reprend les mêmes principes que la législation fédérale susmentionnée : est déterminant, pour apprécier s'il y a une situation difficile, le moment où la décision de restitution est exécutoire (al.1) ; il y a une situation difficile lorsque les conditions de l'art. 5 OPGA, appliqué par analogie, sont réalisées (al. 2).</w:t>
      </w:r>
    </w:p>
    <w:p>
      <w:r>
        <w:rPr>
          <w:b/>
        </w:rPr>
        <w:t>E. 3.4.1</w:t>
      </w:r>
    </w:p>
    <w:p>
      <w:r>
        <w:t>Dans le cadre de l'examen de la condition de la situation difficile (art. 25 al. 1 LPGA), lorsqu'un assuré a reçu, pour une période pendant laquelle il a déjà perçu des prestations complémentaires, des éléments de fortune versés rétroactivement (par exemple un paiement rétroactif de rentes), il convient de prendre en considération cette circonstance. Le Tribunal fédéral a ainsi jugé que dans l'hypothèse où le capital obtenu grâce au paiement de la rente arriérée est encore disponible au moment de l'entrée en force de la décision de restitution, la situation difficile doit être niée. En cas de diminution du patrimoine avant l'entrée en force de la décision de restitution, il faut en examiner les raisons. S'il s'avère que l'assuré a renoncé à des éléments de fortune sans obligation juridique ou sans avoir reçu, en échange, une contre-prestation équivalente (sur ces notions, ATF 146 V 306 consid. 2.3.1 ; arrêts du Tribunal fédéral 9C_787/2020 ; 9C_22/2021 du 14 avril 2021 consid. 4.2 et les références), le patrimoine dont il s'est dessaisi devra être traité comme s'il en avait encore la maîtrise effective, en appliquant par analogie les règles sur le dessaisissement de fortune au sens des art. 11 al. 1 let. g aLPC et 17a aOPC-AVS/Al (arrêts du Tribunal fédéral 8C_954/2008 du 29 mai 2009 consid. 7.2 et les références ; 8C_766/2007 du 17 avril 2008 consid. 4.2 ; C 93/05 du 20 janvier 2007 consid. 5.3.4 ; 9C_246/2022 du 6 décembre 2022 consid. 3.3). Par ailleurs, la détermination des revenus et des dépenses doit être effectuée en tenant compte de l’ensemble des conditions d’existence de la personne tenue à restituer. Ainsi, pour les personnes mariées, le revenu et la fortune de deux conjoints sont pris en compte sans égard à leur régime matrimonial pour autant qu’ils ne soient pas séparés (ATF 116 V 290 consid. 2a). Si la restitution incombe aux héritiers, cette condition doit être remplie par chacun d’eux (ATF 96 V 72 consid. 2).</w:t>
      </w:r>
    </w:p>
    <w:p>
      <w:r>
        <w:rPr>
          <w:b/>
        </w:rPr>
        <w:t>E. 3.4.2</w:t>
      </w:r>
    </w:p>
    <w:p>
      <w:r>
        <w:t>À teneur des directives concernant les prestations complémentaires à l'AVS et à l'AI (ci-après : DPC), valables dès le 1 er avril 2011 (état au 1 er janvier 2021), pour l’établissement des revenus déterminants et de la fortune, on se fondera en règle générale sur les revenus obtenus au cours de l’année civile précédente et sur la fortune déterminante au 1 er janvier de l’année civile au cours de laquelle la décision de restitution est exécutoire. S’agissant des rentes, pensions et autres prestations périodiques, ce sont toutefois les prestations de l’année en cours qui sont prises en compte. Si la situation économique s’est modifiée jusqu’au moment où la décision de restitution est exécutoire, il importe de tenir compte des changements intervenus (DPC n. 4653.03). Si des PC doivent être restituées en raison d’un versement rétroactif de prestations d’assurances sociales, on ne saurait notamment opposer à l’ordre de restitution une éventuelle situation difficile lorsque le bénéficiaire de PC a utilisé les moyens financiers résultant du versement rétroactif à d’autres fins malgré l’attente d’une éventuelle restitution des PC (DPC n. 4653.04).</w:t>
      </w:r>
    </w:p>
    <w:p>
      <w:r>
        <w:rPr>
          <w:b/>
        </w:rPr>
        <w:t>E. 3.5</w:t>
      </w:r>
    </w:p>
    <w:p>
      <w:r>
        <w:t>Le principe inquisitoire, qui régit la procédure dans le domaine de l'assurance sociale ( cf. art. 43 al. 1 et 61 let. c LPGA), exclut que la charge de l'apport de la preuve (« Beweisführungslast »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117 V 261 consid. 3b ; arrêt du Tribunal fédéral 9C_632/2012 du 10 janvier 2013 consid. 6.2.1).</w:t>
      </w:r>
    </w:p>
    <w:p>
      <w:r>
        <w:rPr>
          <w:b/>
        </w:rPr>
        <w:t>E. 4</w:t>
      </w:r>
    </w:p>
    <w:p>
      <w:r>
        <w:t>En l’occurrence, l’intimé conteste la bonne foi du recourant pour la période du 1 er janvier 2022 au 30 juin 2024, en relevant que ce dernier a omis de lui communiquer la hausse de revenu de son épouse. Le recourant fait valoir qu’il a toujours été de bonne foi en communiquant tous les documents utiles à l’intimé, singulièrement les certificats de salaire de son épouse au-delà de l’année 2020.</w:t>
      </w:r>
    </w:p>
    <w:p>
      <w:r>
        <w:rPr>
          <w:b/>
        </w:rPr>
        <w:t>E. 4.1</w:t>
      </w:r>
    </w:p>
    <w:p>
      <w:r>
        <w:t>L’intimé estime tout d’abord que le recourant a annoncé sans retard, en février 2024, son droit à une rente étrangère. À cet égard, les pièces au dossier démontrent que, courant février 2024, le recourant a été informé de son droit à une rente de l’Institut national de sécurité sociale de Jérusalem, rétroactive au 1 er juillet 2023, selon une décision de celui-ci du 7 janvier 2024, suivie d’un versement effectif de la rente en février 2024 (procès-verbal de l’audience de comparution personnelle du 14 avril 2025). Aucun élément au dossier ‑ et l’intimé ne le prétend pas - ne démontre que le recourant savait ou aurait dû savoir, antérieurement à février 2024, qu’une rente étrangère lui serait effectivement versée dès juillet 2023. En particulier, ni le courrier du 18 octobre 2021 de l’Institut national de sécurité sociale de Jérusalem à la caisse suisse de compensation, selon lequel il convenait de les contacter six mois avant l’âge de la retraite du recourant (67 ans), ni celui du 7 décembre 2023, l’informant qu’il serait traité comme un non-résident israélien, ne permettent d’admettre que le recourant pouvait s’attendre à recevoir les prestations rétroactives de l’Institut national de sécurité sociale de Jérusalem au 1 er juillet 2023. Au demeurant, le recourant ne pouvait pas savoir qu’une partie des prestations complémentaires versées du 1 er juillet 2023 au 28 février 2024 était indue, dans la mesure où le revenu retenu ne prenait pas en compte la rente étrangère. Par ailleurs, le recourant n’a pas commis de négligence grave dès lors qu’il a transmis à l’intimé le 14 février 2024 la décision de l’Institut national de sécurité sociale de Jérusalem du 7 janvier 2024, ce que l’intimé admet. Dans ces conditions, la bonne foi du recourant doit être admise pour la période de huit mois du 1 er juillet 2023 au 28 février 2024 s’agissant des prestations complémentaires versées sans tenir compte du montant de CHF 2'800.45 dans le revenu déterminant, correspondant à la rente étrangère annuelle du recourant. L’intimé ne s’étant toutefois pas prononcé sur la condition de la situation difficile, la cause lui sera renvoyée dans ce sens.</w:t>
      </w:r>
    </w:p>
    <w:p>
      <w:r>
        <w:rPr>
          <w:b/>
        </w:rPr>
        <w:t>E. 4.2</w:t>
      </w:r>
    </w:p>
    <w:p>
      <w:r>
        <w:t>L’intimé a pris en compte un revenu de l’épouse du recourant de CHF 22'322.- pour la période du 1 er janvier 2022 au 30 juin 2024, soit le revenu net de l’épouse du recourant pour l’année 2020. Or, ce revenu était en réalité en 2021 de CHF 25'758.- brut et CHF 24'098.- net, en 2022 de CHF 24'449.- brut et CHF 22'873.75 net et en 2023 de CHF 26'400.- brut et CHF 24'292.- net. L’intimé a eu connaissance de l’augmentation du revenu de l’épouse du recourant seulement au jour de la procédure de révision du dossier, courant 2024, de sorte qu’il peut être reproché au recourant de ne pas avoir communiqué l’augmentation de revenu de son épouse à temps. À cet égard, le recourant a déclaré qu’il avait régulièrement déposé dans la boite à l’entrée de l’intimé les certificats de salaire de son épouse, en particulier ceux des années 2021, 2022 et 2023. Le certificat de salaire 2023 figure effectivement au dossier de l’intimé mais mentionne une réception tardive le 1 er juillet 2024. En revanche, les certificats relatifs aux années 2021 et 2022 n’y figurent pas. Dans ces conditions, le recourant, nonobstant ses déclarations crédibles sur le fait qu’il a régulièrement déposé tous les documents utiles auprès de l’intimé, échoue à en prouver la transmission en temps utile, de sorte qu’il supporte l’échec de la preuve. En conséquence, la bonne foi du recourant ne peut être reconnue s’agissant de la prise en compte d’un revenu inférieur à celui effectivement réalisé par son épouse durant la période litigieuse. Cela dit, et comme le représentant de l’intimé l’a admis lors de l’audience de comparution personnelle du 14 avril 2025, les décisions de l’intimé ne sont pas claires car elles ne spécifient pas, dans la rubrique revenu d’activité lucrative, quels montants de revenus sont cumulés. En l’occurrence, le recourant aurait pu aisément se rendre compte du montant du revenu de son épouse pris en compte par l’intimé si celui-ci avait été mentionné séparément de celui de l’enfant E______. Vu le défaut de transmission des certificats de salaire de l’épouse du recourant, pour les années 2021 et 2022, ainsi que la transmission tardive du certificat de salaire 2023, le recourant ne peut cependant en tirer aucun droit.</w:t>
      </w:r>
    </w:p>
    <w:p>
      <w:r>
        <w:rPr>
          <w:b/>
        </w:rPr>
        <w:t>E. 5</w:t>
      </w:r>
    </w:p>
    <w:p>
      <w:r>
        <w:t>Au vu de ce qui précède, le recours sera partiellement admis et la décision litigieuse annulée. La cause sera renvoyée à l’intimé dans le sens des considérants.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