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A/423/2024 vom 19. September 2024</w:t>
      </w:r>
    </w:p>
    <w:p>
      <w:r>
        <w:t>GE Cour de justice, 2024-09-19, FR</w:t>
      </w:r>
    </w:p>
    <w:p>
      <w:r>
        <w:rPr>
          <w:b/>
        </w:rPr>
        <w:t xml:space="preserve">Quelle: </w:t>
      </w:r>
      <w:r>
        <w:t>https://mcp.opencaselaw.ch/entscheid/ge_gerichte_A_423_2024</w:t>
      </w:r>
    </w:p>
    <w:p>
      <w:r>
        <w:t>FR: GE_GERICHTE A/423/2024 du 19 septembre 2024</w:t>
      </w:r>
    </w:p>
    <w:p>
      <w:r>
        <w:t>IT: GE_GERICHTE A/423/2024 del 19 settembre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(art. 49 LP). L'art. 49 consacre une exception aux principes généralement applicables, en ce sens que la succession non partagée, alors même qu'elle n'a pas la personnalité juridique, se voit octroyer la qualité de partie et la légitimation passive sur le plan du droit des poursuites (ATF 146 III 106 consid. 3.4.1). 2.1.2 Le poursuivant doit énoncer dans la réquisition de poursuite le nom de la succession et le nom du représentant désigné ou, à défaut d'un représentant connu du poursuivant, le nom d'un des héritiers auquel la notification du commandement de payer doit être faite (art. 67 al. 1 ch. 2 in fine et 65 al. 3 LP; Circulaire n° 16 du Tribunal fédéral du 3 avril 1925 concernant les communautés héréditaires et les indivisions; Formule n° 1, explications pt 2; Ruedin, Commentaire Romand, Poursuite et faillite, 2005, n° 21 ad art. 67 LP). 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que celui-ci informera tous les cohéritiers et prendra toutes les mesures nécessaires à la sauvegarde des droits de la succession; peu importe si, dans les faits, cet héritier néglige ce devoir. Cette liberté de choix connaît sa limite dans l'abus de droit que commet le créancier qui, conscient du conflit existant entre les héritiers, choisit délibérément de faire notifier un commandement à un héritier dont il présume qu'il ne fera pas opposition (Reymond, La poursuite contre une succession, in JdT 2009 II 46; Jeanneret, Lembo, Commentaire Romand, Poursuite et faillite, 2005, n° 20 ad art. 65 LP et les références citées, notamment ATF 113 III 79 , JdT 1990 II 8; 107 III 7 c. 1, JdT 1983 II 35; Gilliéron, Commentaire de la loi fédérale sur la poursuite pour dettes et la faillite, n° 70 et 71 ad art. 65 LP). 2.1.3 Le débiteur domicilié à l'étranger qui a élu domicile en Suisse pour l'exécution d'une obligation peut y être poursuivi pour cette dette (art. 50 al. 2 LP). L'élection d'un for de poursuite est une manifestation de volonté qui s'interprète selon les mêmes principes que les autres contrats.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n'implique pas élection de for d'exécution forcée, sauf en ce qui concerne les lettres de change ou les titres au porteur. De la même manière, ni l'élection d'un for judiciaire, ni la simple désignation d'un domicile aux fins de notification des actes judiciaires dans un procès civil (ou pénal) ne permettent de présumer l'existence d'une élection de for de poursuite (Arrêt du Tribunal fédéral 5A_721/2020 du 8 octobre 2020 consid. 2.1.1; DCSO/150/2018 du 1 er mars 2018, consid. 2.1.1 et 2.1.3; Schmid in SchKG I (2021) n. 39 ad 50). 2.1.4 Lorsqu'un défaut affecte la réquisition de poursuite, l'office des poursuites peut refuser d'y donner suite, en donnant le cas échéant au poursuivant un délai pour remédier au vice. Lorsque le défaut n'entraîne pas la nullité de la réquisition, la jurisprudence prescrit aux offices des poursuites d'impartir au poursuivant un délai aux fins de rectifier ou compléter les indications viciées, ou de lui demander les renseignements nécessaires (ATF 141 III 173 consid. 2.4). 2.2.1 En l'espèce, le défunt a quitté la Suisse pour s'installer en Italie avant juin 2021. Il a accepté de se soumettre à une exécution forcée en Suisse au lieu d'exécution à Genève, vu la clause d'élection de for de poursuites convenue dans les documents contractuels produits par la créancière poursuivante. Il pouvait en conséquence être poursuivi à Genève par la plaignante pour les dettes résultant de leur relation bancaire en vertu de l'art. 50 al. 2 LP. Il en va de même pour sa succession en application de l'art. 49 LP, de sorte qu'il existe un for de poursuite à Genève. 2.2.2 L'Office a refusé de donner suite à la réquisition de poursuite au motif que la plaignante n'avait désigné aucun représentant ou héritier de la succession auprès duquel la notification du commandement de payer devait être effectuée. La plaignante ne saurait être suivie lorsqu'elle soutient que ces indications n'étaient pas nécessaires et que les actes de la poursuite dirigée contre l'hoirie devaient être notifiés en son propre siège compte tenu de la clause d'élection de domicile. Les dispositions contractuelles contiennent en effet une élection de for de poursuite : elles ne constituent en revanche ni n'impliquent une élection de domicile aux fins de notification des actes de poursuite en mains de la plaignante. L'hoirie peut ainsi certes être poursuivie à Genève sur la base de la prorogation de for convenue entre le défunt et la créancière poursuivante, mais les actes de poursuite n'en devront pas moins lui être notifiés en mains d'un représentant ou d'un héritier. C'est en conséquence à raison que l'Office a refusé de donner suite à la réquisition de poursuite dirigée contre l'hoirie après avoir invité la plaignante à lui communiquer les coordonnées d'un représentant ou d'un héritier de l'hoirie. Cela étant, dans la mesure où la plaignante a mentionné les noms de trois héritiers du défunt dans son courrier du 28 novembre 2023 et qu'elle a, dans le cadre de sa plainte auprès de la Chambre de céans, désigné G______, épouse du défunt domiciliée Via 3______ no. ______, Piano 2, [code postal] J______, Italie, comme héritière représentant l'hoirie, il se justifie d'annuler la décision querellée et d'inviter l'Office à procéder à la notification du commandement de payer dans la poursuite dirigée à l'encontre de l'hoirie de feu B______ auprès de G______, domiciliée Via 3______ no. ______, Piano 2, [code postal] J______ (Italie). La plainte doit ainsi être partiellement admise. La décision contestée sera donc annulée, ce qui emporte l'annulation des frais qui lui sont liés, et l'Office sera en joint à procéder dans le sens de ce qui précède.</w:t>
      </w:r>
    </w:p>
    <w:p>
      <w:r>
        <w:rPr>
          <w:b/>
        </w:rPr>
        <w:t>E. 3</w:t>
      </w:r>
    </w:p>
    <w:p>
      <w:r>
        <w:t>La procédure devant l'autorité de surveillance est gratuite (art. 20a al. 2 ch. 5 LP; art. 61 al. 2 let. a OELP) et ne donne pas lieu à l'allocation de dépens (art. 62 al. 2 OELP). * * * * * PAR CES MOTIFS, La Chambre de surveillance : A la forme : Déclare recevable la plainte formée le 5 février 2024 par A______ contre la décision de rejet de la réquisition de poursuite rendue par l'Office le 23 janvier 2024 et la facture n° 4______ de frais du même jour. Au fond : L'admet partiellement. Annule cette décision et la facture y relative. Ordonne à l'Office cantonal des poursuites de procéder à la notification du commandement de payer dans la poursuite dirigée à l'encontre de l'hoirie de feu B______ auprès de G______, domiciliée Via 3______ no. ______, Piano 2, [code postal] J______ (Italie). Déboute A______ de toutes autres conclusions. Siégeant : Madame Ursula ZEHETBAUER GHAVAMI, présidente; Madame Natalie OPPATJA et Monsieur Denis KELLER,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