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A/4231/2010 vom 21. August 2012</w:t>
      </w:r>
    </w:p>
    <w:p>
      <w:r>
        <w:t>GE Cour de justice, 2012-08-21, FR</w:t>
      </w:r>
    </w:p>
    <w:p>
      <w:r>
        <w:rPr>
          <w:b/>
        </w:rPr>
        <w:t xml:space="preserve">Quelle: </w:t>
      </w:r>
      <w:r>
        <w:t>https://mcp.opencaselaw.ch/entscheid/ge_gerichte_A_4231_2010</w:t>
      </w:r>
    </w:p>
    <w:p>
      <w:r>
        <w:t>FR: GE_GERICHTE A/4231/2010 du 21 août 2012</w:t>
      </w:r>
    </w:p>
    <w:p>
      <w:r>
        <w:t>IT: GE_GERICHTE A/4231/2010 del 21 agosto 2012</w:t>
      </w:r>
    </w:p>
    <w:p>
      <w:pPr>
        <w:pStyle w:val="Heading2"/>
      </w:pPr>
      <w:r>
        <w:t>Regeste</w:t>
      </w:r>
    </w:p>
    <w:p>
      <w:r>
        <w:t>; INTERPRÉTATION(SENS GÉNÉRAL) ; PRIMAUTÉ DU DROIT FÉDÉRAL ; CONFORMITÉ AU DROIT INTERNATIONAL ; DROIT FISCAL ; IMPÔT ; ASSUJETTISSEMENT(IMPÔT) ; CALCUL DE L'IMPÔT ; IMMEUBLE ; PERTE(ARGENT) | L'excédent de charges liées au bien immobilier des recourants sis en France ne peut pas être pris en considération pour la détermination du revenu net, mais uniquement pour celle du taux de l'impôt. Les recourants sont ressortissants français et résident dans le canton de Genève ; ils ont été traités de la même manière que des ressortissants suisses disposant d'une résidence secondaire en France, de sorte que le principe de non-discrimination découlant de l'ALCP n'a pas été violé en l'espèce. 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 | Cst.190 ; LIFD.6.al3; ALCP.2; ALCP.16.al2; ALCP.21; ALCP.9.al2; aLIPP-I.5al1; aLIPP-I.5.al4</w:t>
      </w:r>
    </w:p>
    <w:p>
      <w:pPr>
        <w:pStyle w:val="Heading2"/>
      </w:pPr>
      <w:r>
        <w:t>Erwägungen</w:t>
      </w:r>
    </w:p>
    <w:p>
      <w:r>
        <w:rPr>
          <w:b/>
        </w:rPr>
        <w:t>E. 1</w:t>
      </w:r>
    </w:p>
    <w:p>
      <w:r>
        <w:t>L'assujettissement fondé sur un rattachement personnel est illimité ; il ne s'étend toutefois pas aux entreprises, aux établissements stables et aux immeubles situés à l'étranger.</w:t>
      </w:r>
    </w:p>
    <w:p>
      <w:r>
        <w:rPr>
          <w:b/>
        </w:rPr>
        <w:t>E. 2</w:t>
      </w:r>
    </w:p>
    <w:p>
      <w:r>
        <w:t>L'assujettissement fondé sur un rattachement économique est limité aux parties du revenu qui sont imposables en Suisse selon les art. 4 et 5. Au moins le revenu acquis en Suisse doit être imposé.</w:t>
      </w:r>
    </w:p>
    <w:p>
      <w:r>
        <w:rPr>
          <w:b/>
        </w:rPr>
        <w:t>E. 3</w:t>
      </w:r>
    </w:p>
    <w:p>
      <w:r>
        <w:t>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w:t>
      </w:r>
    </w:p>
    <w:p>
      <w:r>
        <w:rPr>
          <w:b/>
        </w:rPr>
        <w:t>E. 4</w:t>
      </w:r>
    </w:p>
    <w:p>
      <w:r>
        <w:t>Les personnes imposables conformément à l'art. 3 al. 5 doivent l'impôt sur leurs revenus qui sont exonérés des impôts sur le revenu à l'étranger en vertu de conventions internationales ou de l'usage. 6) 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(y compris ceux des exploitations agricoles ou forestières) sont imposables dans l'Etat contractant où ces biens sont situés. Les conventions internationales de double imposition visent à déterminer quel pays est compétent pour lever l'impôt ; la manière dont celui-ci est prélevé, ainsi que son taux, restent de la compétence de chaque ordre juridique interne (Arrêts du Tribunal fédéral 2C_625/2008 du 30 janvier 2009 consid. 4.2 ; 2C_265/2007 du 8 octobre 2007 consid. 2.1 ; X. OBERSON, Précis de droit fiscal international, 3 ème éd., Berne 2009, n. 368 ; P. LOCHER, Einführung in das internationale Steuerrecht der Schweiz, 3 ème éd., Berne 2005, pp. 98 s. et 292). Ainsi, la CDI-F - à l'instar de la très grande majorité des conventions de double imposition - ne contient-elle aucune disposition sur la déductibilité des intérêts passifs ou des excédents de charges et frais d'entretien des immeubles ( ATA/288/2012 du 8 mai 2012). Au vu de ce qui précède, la CDI-F n'apporte pas de solution au problème posé en l'espèce. 7) a. Se pose la question de savoir si l'excédent de charges liées aux immeubles sis à l'étranger fait ou non partie des « autres hypothèses » prévues à l'art. 6 al. 3 3 ème phr. LIFD. b. Selon la jurisprudence du Tribunal fédéral, en matière de pertes subies à l'étranger, la LIFD retient expressément que les pertes provenant d'établissements stables à l'étranger peuvent être prises en compte lors de la détermination du revenu pour autant qu'il ne soit pas fait de bénéfice subséquent (art. 6 al. 3 2 ème phr. LIFD), mais dans tous les autres cas la prise en compte des pertes faites à l'étranger doit être refusée, celles-ci ne pouvant être prises en considération que pour la détermination du taux (art. 6 al. 3 3 ème phr. LIFD) ; une telle prise en compte doit donc être refusée pour les immeubles étrangers, sous réserve de dispositions contraires contenues dans une convention de double imposition applicable (Arrêt du Tribunal fédéral in NStP 2000 19 consid. 2b ; ATA/288/2012 précité). Selon l'art. 6 al. 3 3 ème phr. LIFD, et exception faite des établissements stables, les pertes subies à l'étranger ne sont prises en considération en Suisse que pour déterminer le taux d'imposition ; les corrections de valeurs ne peuvent par conséquent être déduites du revenu imposable en Suisse, mais ne sont prises en considération que pour fixer le taux d'impôt, pour autant que les critères formels soient à cet égard remplis (Arrêt du Tribunal fédéral 2A.36/2007 du 21 août 2007 consid. 2.2 ; ATA/288/2012 précité et les références citées). c. Cette interprétation a été adoptée par presque toutes les juridictions cantonales s'étant penchées sur la question, soit celles de Genève ( ATA/288/2012 précité ; ATA/632/2009 du 1 er décembre 2009 ; ATA/218/2007 du 8 mai 2007), du Tessin (décision de la commission cantonale en matière d'impôts du 27 octobre 1995 in RDAT 1996 I 379 ), de Thurgovie (Arrêt du Tribunal administratif thurgovien du 13 janvier 1999 in RF 1999 470 consid. 2e), de Schwytz (décision de la commission cantonale en matière d'impôts du 13 juin 2000 in RF 2001 274), de Vaud (Arrêt du Tribunal administratif vaudois du 9 octobre 2003 in RF 2004 446 consid. 2b) et de St-Gall (décision de la commission de recours administrative du 26 mars 2009 in StE 2009 B 11.3 n° 19 consid. 2.3.2). Seule la juridiction du canton d'Argovie connaît une interprétation différente : celle-ci ne concerne toutefois que sa législation fiscale cantonale, le texte de cette dernière divergeant de celui de l'art. 6 al. 3 LIFD (AGVE 2005 354 consid. 5c). d. La doctrine largement majoritaire admet également cette solution (F. RICHNER/W. FREI/S. KAUFMANN/H.-U. MEUTER, Handkommentar zum DBG, 2 ème éd., Zurich 2009, n. 74 ad art. 6 LIFD ; R. CADOSCH, DBG - Kommentar, Zurich 2008, n. 3 ad art. 6 LIFD ; J.-B. PASCHOUD, Impôt fédéral direct - Commentaire romand, Bâle 2008, n. 35 ss ad art. 6 LIFD ; P. LOCHER, Kommentar zum DBG, Bâle 2001, p. 433 ; E. HÖHN/ P. ATHANAS [éd.], Das neue Bundesrecht über die direkten Steuern, Berne - Stuttgart - Vienne 1993, n. 14 et 43 ad art. 6 LIFD). Au vu de ce qui précède, la jurisprudence de la chambre de céans sera maintenue : l'excédent de charges liées aux immeubles sis à l'étranger fait partie des « autres hypothèses » prévues à l'art. 6 al. 3 3 ème phr. LIFD. Ledit excédent ne peut pas être pris en considération pour la détermination du revenu net, mais uniquement pour celle du taux de l'impôt. 8) a. Aux termes de l'art. 1 de l'Accord conclu le 21 juin 1999 entre la Suisse, d'une part, et la communauté européenne et ses Etats membres, d'autre part, sur la libre circulation des personnes (ALCP - RS 0.142.112.681), entré en vigueur le 1 er juin 2002, l'objectif dudit accord, en faveur des ressortissants des Etats membres de la communauté européenne et de la Suisse, est le suivant : a) accorder un droit d'entrée, de séjour, d'accès à une activité économique salariée, d'établissement en tant qu'indépendant et le droit de demeurer sur le territoire des parties contractantes ; b) faciliter la prestation de services sur le territoire des parties contractantes, en particulier de libéraliser la prestation de services de courte durée ; c) accorder un droit d'entrée et de séjour, sur le territoire des parties contractantes, aux personnes sans activité économique dans le pays d'accueil ; d) accorder les mêmes conditions de vie, d'emploi et de travail que celles accordées aux nationaux. Selon l'art. 16 al. 2 ALCP, dans la mesure où l'application de l'accord implique des notions de droit communautaire, il sera tenu compte de la jurisprudence pertinente de la CJCE antérieure à la date de sa signature. La jurisprudence postérieure à la date de la signature de l'ALCP sera communiquée à la Suisse. En vue d'assurer le bon fonctionnement de l'accord, à la demande d'une partie contractante, le comité mixte déterminera les implications de cette jurisprudence. L'art. 21 ALCP précise ce qui suit : 1 Les dispositions des accords bilatéraux entre la Suisse et les Etats membres de la communauté européenne en matière de double imposition ne sont pas affectées par les dispositions de l'ALCP. En particulier les dispositions de ce dernier ne doivent pas affecter la définition du travailleur frontalier selon les accords de double imposition. 2 Aucune disposition de l'ALCP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3 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 Les ressortissants d'une partie contractante qui séjournent légalement sur le territoire d'une autre partie contractante ne sont pas, dans l'application de cet accord, discriminés en raison de leur nationalité (art. 2 ALCP). Le travailleur salarié et les membres de sa famille ressortissants d'une partie contractante bénéficient, sur le territoire d'une autre partie contractante, des mêmes avantages fiscaux et sociaux que les travailleurs salariés nationaux et les membres de leur famille (art. 9 al. 2 de l'annexe I ALCP). b. Les engagements pris par la Suisse sont sectoriels, pourvus de mécanismes de régulation propres et ne consacrent pas une participation pleine et entière au marché intérieur de la communauté européenne (ATF 130 II 113 consid. 6.1 ; ATA/152/2009 du 24 mars 2009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Bernard Dutoit, Genève 2002, p. 13 ss, 14). Lorsqu'il est amené à interpréter l'ALCP, le juge suisse doit tenir compte du fait que la plupart des arrêts de la CJCE sont rendus dans le cadre d'une procédure spéciale dite de renvoi préjudiciel, comportant des propriétés n'étant pas sans conséquences pour apprécier la portée de ladite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La CJCE s'abstient généralement d'examiner des questions relevant de l'appréciation du juge national, tels les faits ou leur exactitude ;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et les références citées ; ATA/152/2009 précité). 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L'art. 31 par. 1 CV prescrit qu'un traité doit être interprété de bonne foi suivant le sens ordinaire à attribuer aux termes du traité dans leur contexte et à la lumière de son objet et de son but (ATF 130 II 113 consid. 6.1 et les références citées ; ATA/152/2009 précité). Les arrêts de la CJCE fondés sur des notions ou des considérations dépassant le cadre relativement étroit des accords sectoriels ne sauraient donc, sans autre examen, être transposés dans l'ordre juridique suisse (ATF 130 II 113 consid. 6.2 ; ATA/152/2009 précité). c. Le Tribunal fédéral précise que, selon la CJCE, si la fiscalité directe relève de la compétence des Etats membres, il n'en demeure pas moins que ces derniers doivent l'exercer dans le respect du droit communautaire, en s'abstenant de toute discrimination ostensible ou déguisée fondée sur la nationalité (ATF 136 II 241 consid. 13.1 et les références citées). d. Selon le Tribunal fédéral, en application de l'art. 16 al. 2 ALCP, il convient de tenir compte de la jurisprudence pertinente de la CJCE antérieure au 21 juin 1999, date de signature de l'ALCP, sous réserve des cautèles prévues par l'art. 21 ALCP (ATF 136 II 241 consid. 12 ; 132 V 53 consid. 2). Le Tribunal fédéral n'est pas lié par la jurisprudence postérieure au 21 juin 1999 (ATF 130 II 1 consid. 3.6 in RDAF 2005 I 621 ), les arrêts rendus postérieurement à cette date pouvant, le cas échéant, être utilisés en vue d'interpréter l'ALCP, surtout s'ils ne font que préciser une jurisprudence antérieure (ATF 132 V 53 consid. 2 ; 130 II 113 consid. 5.2 et 6.5 ; voir également l'avis de droit du 6 juillet 2009 du département fédéral de justice et police, office fédéral de la justice : L'admissibilité de mesures d'intégration à l'égard des citoyens de l'Union européenne in JAAC 1/2010 du 15 avril 2010 p. 16 ss, p. 23-24 ch. 2.2.3). Dans un arrêt en matière de regroupement familial, le Tribunal fédéral a estimé qu'en vue de l'harmonisation du droit, il n'y avait pas de raison pertinente pour que la Suisse applique une pratique différente de celle de la CJCE, mais il n'était pas tenu de reprendre un arrêt de la CJCE postérieur au 21 juin 1999 (ATF 136 II 5 consid. 3.5 et 3.6 in RDAF 2011 I 497 ). e. Selon la jurisprudence de la CJCE antérieure au 21 juin 1999, un Etat membre ne peut pas traiter un ressortissant d'un autre Etat membre qui, ayant fait usage de son droit de libre circulation, exerce une activité salariée sur le territoire du premier Etat, de façon moins favorable qu'un ressortissant national se trouvant dans la même situation (Arrêt Schumacker du 14 février 1995, dans l'affaire C-279/93). 9) L'interdiction de discrimination ancrée à l'art. 2 ALCP est directement applicable et l'emporte sur les dispositions contraires des lois fédérales sur l'impôt fédéral direct et sur l'harmonisation fiscale. Cette même interdiction l'emporte aussi sur le droit cantonal contraire (ATF 136 II 241 consid. 16). 10) En l'occurrence, la législation fiscale suisse prévoit que l'excédent d'intérêts passifs attribué à un immeuble sis à l'étranger n'est pas pris en compte en Suisse pour la détermination de la base imposable, mais uniquement pour la détermination du taux d'imposition ( cf. supra consid. 7). L'art. 6 al. 3 3 ème phr. LIFD n'opère pas de distinction en fonction de la nationalité des contribuables concernés. En l'espèce, les recourants sont ressortissants français et résident dans le canton de Genève. Ils ont été traités de la même manière que des ressortissants suisses résidant à Genève et disposant d'une résidence secondaire en France. L'art. 6 al. 3 3 ème phr. LIFD n'est dès lors pas contraire au principe de non-discrimination découlant de l'ALCP. 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 Impôt cantonal et communal 11)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 b. Conformément à son art. 71, la LIPP est entrée en vigueur le 1 er janvier 2010. Elle s'applique pour la première fois aux impôts de la période fiscale 2010 ; les impôts relatifs aux périodes fiscales antérieures demeurent régis par les dispositions de l'ancien droit, même après l'entrée en vigueur de la nouvelle loi (art. 72 al. 1 LIPP). c. Le présent litige concernant la période fiscale 2008, il doit être examiné à l'aune du régime juridique mis en place par l'aLIPP-I, entrée en vigueur le 1 er janvier 2001. 12) a. L'assujettissement fondé sur un rattachement personnel est illimité ; il ne s'étend toutefois pas aux entreprises, aux établissements stables et aux immeubles situés hors du canton (art. 5 al. 1 aLIPP-I).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 que pour déterminer le taux de l'impôt dans le canton. Dans toutes les autres hypothèses, les pertes subies à l'étranger ne doivent être prises en considération dans le canton que lors de la détermination du taux de l'impôt (art. 5 al. 4 aLIPP-I). b. La rédaction de l'art. 5 al. 4 in fine aLIPP-I est identique à celle de l'art. 6 al. 3 3 ème phr. LIFD et a été sciemment calquée sur ce modèle : il ressort des travaux préparatoires que « le libellé de l'article 3 [ recte : 6] alinéa 3 LIFD, plus clair, a été repris à l'article 5 alinéa 4 LIPP[-I]. Cela permet une harmonisation verticale qui est souhaitable » (MGC 1999 45/VIII 7379, exposé des motifs ; ATA/288/2012 précité). Le fait que la seule exception prévue à l'art. 5 al. 4 aLIPP-I concerne les entreprises n'infirme nullement le fait que le reste de l'alinéa ne concerne que les entreprises. L'ensemble de l'art. 5 al. 4 aLIPP-I étant repris de l'art. 6 al. 3 LIFD, l'interprétation systématique ne permet nullement d'aboutir à une autre solution que celle déjà exposée ( ATA/288/2012 précité). c. Les principes applicables en matière d'IFD le sont mutatis mutandis en matière d'ICC ( ATA/368/2011 du 7 juin 2011 ; ATA/517/2010 du 3 août 2010). 13) Au vu de ce qui précède, la décision litigieuse sera confirmée et le recours rejeté. Un émolument de CHF 2'000.- sera mis à la charge des recourants, pris conjointement et solidairement.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