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A/4230/2009 vom 18. März 2010</w:t>
      </w:r>
    </w:p>
    <w:p>
      <w:r>
        <w:t>GE Cour de justice, 2010-03-18, FR</w:t>
      </w:r>
    </w:p>
    <w:p>
      <w:r>
        <w:rPr>
          <w:b/>
        </w:rPr>
        <w:t xml:space="preserve">Quelle: </w:t>
      </w:r>
      <w:r>
        <w:t>https://mcp.opencaselaw.ch/entscheid/ge_gerichte_A_4230_2009</w:t>
      </w:r>
    </w:p>
    <w:p>
      <w:r>
        <w:t>FR: GE_GERICHTE A/4230/2009 du 18 mars 2010</w:t>
      </w:r>
    </w:p>
    <w:p>
      <w:r>
        <w:t>IT: GE_GERICHTE A/4230/2009 del 18 marzo 2010</w:t>
      </w:r>
    </w:p>
    <w:p>
      <w:pPr>
        <w:pStyle w:val="Heading2"/>
      </w:pPr>
      <w:r>
        <w:t>Regeste</w:t>
      </w:r>
    </w:p>
    <w:p>
      <w:r>
        <w:t>Séquestre. Droit d'emption. Qualité pour agir. | Plainte tardive. Défaut d'intérêt à la plainte et de qualité pour agir de l'empteur qui n'avait pas encore exercé son droit d'emption lorsque le séquestre a été exécuté. Problème de la propriété d'un bien doit être examiné par le juge dans le cadre de l'opposition au séquestre.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procédure de plainte est gratuite, en ce sens qu’il est en principe statué sans frais ni dépens (art. 20a al. 2 ch. 5 LP ; art. 61 al. 2 let. a et 62 al. 2 OELP). PAR CES MOTIFS, LA COMMISSION DE SURVEILLANCE SIÉGEANT EN SECTION : Déclare irrecevable la plainte formée le 23 novembre 2009 par S______ SA contre l'exécution du séquestre n° 09 xxxx26 S. Siégeant : M. Philippe GUNTZ, président ;  M. Philipp GANZONI, juge assesseur et M. Pascal JUNOD, juge assesseur suppléant.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