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A/4225/2024 vom 15. Oktober 2025</w:t>
      </w:r>
    </w:p>
    <w:p>
      <w:r>
        <w:t>GE Cour de justice, 2025-10-15, FR</w:t>
      </w:r>
    </w:p>
    <w:p>
      <w:r>
        <w:rPr>
          <w:b/>
        </w:rPr>
        <w:t xml:space="preserve">Quelle: </w:t>
      </w:r>
      <w:r>
        <w:t>https://mcp.opencaselaw.ch/entscheid/ge_gerichte_A_4225_2024</w:t>
      </w:r>
    </w:p>
    <w:p>
      <w:r>
        <w:t>FR: GE_GERICHTE A/4225/2024 du 15 octobre 2025</w:t>
      </w:r>
    </w:p>
    <w:p>
      <w:r>
        <w:t>IT: GE_GERICHTE A/4225/2024 del 15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60 al. 1 LPGA ; art. 9 de la loi cantonale sur les prestations fédérales complémentaires à l'assurance-vieillesse et survivants et à l'assurance-invalidité du 14 octobre 1965 [LPFC - J 4 20]) ; art. 43 LPCC ; art. 62 al. 1 let. a LPA) prévus par la loi, le recours est recevable.</w:t>
      </w:r>
    </w:p>
    <w:p>
      <w:r>
        <w:rPr>
          <w:b/>
        </w:rPr>
        <w:t>E. 2</w:t>
      </w:r>
    </w:p>
    <w:p>
      <w:r>
        <w:t>Le litige porte sur le droit de la recourante à des prestations complémentaires, en particulier sur le montant de sa fortune nette à prendre en considération pour déterminer si elle respecte le seuil d'entrée et, dans ce cadre, sur le calcul des biens dessaisis.</w:t>
      </w:r>
    </w:p>
    <w:p>
      <w:r>
        <w:rPr>
          <w:b/>
        </w:rPr>
        <w:t>E. 3.1</w:t>
      </w:r>
    </w:p>
    <w:p>
      <w:r>
        <w:t>La modification du 22 mars 2019 de la LPC est entrée en vigueur le 1 er janvier 2021 (Réforme des PC, FF 2016 7249 ; RO 2020 585). En l'occurrence, le droit éventuel aux prestations complémentaires naîtrait postérieurement au 1 er janvier 2021, de sorte que les dispositions légales applicables seront citées dans leur nouvelle teneur.</w:t>
      </w:r>
    </w:p>
    <w:p>
      <w:r>
        <w:rPr>
          <w:b/>
        </w:rPr>
        <w:t>E. 3.2</w:t>
      </w:r>
    </w:p>
    <w:p>
      <w:r>
        <w:t>Les personnes qui ont leur domicile et leur résidence habituelle en Suisse et qui remplissent les conditions personnelles prévues aux art. 4, 6 et 8 LPC, ainsi que les conditions relatives à la fortune nette prévues à l’art. 9 a LPC, ont droit à des prestations complémentaires. Ont ainsi droit aux prestations complémentaires notamment les personnes qui perçoivent une rente de l’assurance-invalidité conformément à l’art. 4 al. 1 let. c LPC. Ont droit aux prestations complémentaires cantonales les personnes dont le revenu annuel déterminant n'atteint pas le revenu minimum cantonal d'aide sociale applicable (art. 4 LPCC).</w:t>
      </w:r>
    </w:p>
    <w:p>
      <w:r>
        <w:rPr>
          <w:b/>
        </w:rPr>
        <w:t>E. 3.3</w:t>
      </w:r>
    </w:p>
    <w:p>
      <w:r>
        <w:t>En vertu de l'art. 9 a al. 1 let. a LPC, les personnes seules dont la fortune nette est inférieure au seuil de CHF 100'000.- ont droit à des prestations complémentaires. Les parts de fortune visées à l’art. 11 a al. 2 à 4 LPC font partie de la fortune nette au sens de l’al. 1 (art. 9 a al. 3 LPC). La fortune nette d'un bénéficiaire de prestations complémentaires comprend notamment les biens mobiliers et immobiliers dont il est propriétaire, tels que les avoirs bancaires, les biens immobiliers sis à l'étranger et la fortune à laquelle il a renoncé (Erwin CARIGIET / Uwe KOCH, Ergänzungsleistungen zur AHV/IV, 2021, ch. 572). Selon l'art. 17 a al. 1 de l'ordonnance sur les prestations complémentaires à l'assurance-vieillesse, survivants et invalidité, du 15 janvier 1971 (OPC-AVS/AI - RS 831.301) en lien avec l'art. 9 al. 5 let. b LPC, la fortune prise en compte doit être évaluée selon les règles de la législation sur l’impôt cantonal direct du canton du domicile.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 / Uwe KOCH, Ergänzungsleistungen zur AHV/IV , 2 ème éd. 2009, p. 163). La fortune nette s'obtient après déduction des dettes, mais sans déduction de la franchise sur la fortune (Message du Conseil fédéral relatif à la modification de la loi sur les prestations complémentaires [Réforme des PC] du 16 septembre 2016, FF 2016 7249 p. 7284). L'art. 2 al. 2 OPC-AVS/AI, intitulé « seuil d'entrée lié à la fortune » énonce que si une personne dépose une demande de prestation complémentaire annuelle, la fortune déterminante pour le droit à cette prestation est la fortune disponible le premier jour du mois à partir duquel la prestation est demandée. Dans un arrêt de principe, la chambre de céans a retenu que le seuil de fortune déterminant pour l’octroi des prestations complémentaires fédérales en vigueur depuis le 1 er janvier 2021 est également applicable en matière de prestations complémentaires cantonales ( ATAS/521/2023 du 29 juin 2023 consid. 12.5).</w:t>
      </w:r>
    </w:p>
    <w:p>
      <w:r>
        <w:rPr>
          <w:b/>
        </w:rPr>
        <w:t>E. 3.4</w:t>
      </w:r>
    </w:p>
    <w:p>
      <w:r>
        <w:t>La réforme des prestations complémentaires a introduit un nouvel art. 11 a LPC, relatif à la renonciation à des revenus ou parts de fortune, qui est entré en vigueur le 1 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 a al. 3 LPC). L'al. 3 s'applique aux bénéficiaires d'une rente de vieillesse de l'AVS également pour les dix années qui précèdent la naissance du droit à la rente (art. 11 a al. 4 LPC). L'art. 17 e al. 1 OPC-AVS/AI, également entré en vigueur le 1 er janvier 2021, prévoit que le montant de la fortune qui a fait l'objet d'un dessaisissement au sens de l'art. 11 a al. 2 et 3 LPC et qui doit être pris en compte dans le calcul de la prestation complémentaire est réduit chaque année de CHF 10'000.-. Selon l'al. 3 des dispositions transitoires de la modification du 22 mars 2019, l'art. 11 a al. 3 et 4 LPC ne s'applique qu'à la fortune qui a été dépensée après l'entrée en vigueur de la présente modification (arrêt du Tribunal fédéral 9C_329/2023 du 21 août 2023 consid. 4.2). Selon l'art. 17 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 a al. 3 LPC (let. b).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L'art. 11 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(FF 2016 7249 pp. 7322 et 7323). Lorsque la fortune diminue de façon substantielle sans que le bénéficiaire des prestations complémentaires puisse prouver l’utilisation qu’il en a faite, on suppose, en principe, qu’il y a dessaisissement (Directives concernant les prestations complémentaires à l'AVS et à l'AI établies par l'Office fédéral des assurances sociales - DPC, dans leur état au 1 er janvier 2024, ch. 3532.09). L’art. 11 a al. 3 LPC complète l’al. 2 en précisant que, même en présence d’une contre-prestation adéquate, la consommation de la fortune ne doit pas dépasser un certain plafond. En d’autres termes, indépendamment des preuves d’achat fournies, le calcul de la prestation complémentaire tiendra compte d’un dessaisissement de fortune lorsque celle-ci aura été dépensée dans un court laps de temps sans que la personne se soit souciée de l’avenir. Les pertes de fortune involontaires qui ne sont pas imputables à une action intentionnelle ou une à imprudence du bénéficiaire des prestations complémentaires ne sont pas considérées comme une consommation de la fortune et ne tombent donc pas sous le coup de cette disposition. Aucun dessaisissement n’est par exemple pris en compte en cas de perte imprévisible sur un placement financier raisonnable ou en cas d’irrécouvrabilité d’un prêt qui n’était pas prévisible au moment où le prêt a été consenti. Les limites fixées permettent de déterminer si la fortune a été dépensée trop rapidement ou non. Dans la mesure où l’organe d’exécution constate l’existence d’un dessaisissement de fortune, le montant de CHF 10'000.- par année prévu à l’art. 17 a al. 1 OPC-AVS/AI doit être pris en compte, comme c’est actuellement le cas (FF 2016 7249 p. 7323 ; cf . arrêt du Tribunal fédéral 9C_50/2022 du 17 mai 2022 consid. 3.1).</w:t>
      </w:r>
    </w:p>
    <w:p>
      <w:r>
        <w:rPr>
          <w:b/>
        </w:rPr>
        <w:t>E. 3.5</w:t>
      </w:r>
    </w:p>
    <w:p>
      <w:r>
        <w:t>Le dessaisissement suppose que l’assuré ait la capacité de discernement s’agissant de la diminution de sa fortune (arrêt du Tribunal fédéral 9C_934/2009 du 28 avril 2010 consid. 5.1). Selon l’art. 16 du code civil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du Tribunal fédéral 9C_5/2016 du 12 février 2016 consid. 4.2).</w:t>
      </w:r>
    </w:p>
    <w:p>
      <w:r>
        <w:rPr>
          <w:b/>
        </w:rPr>
        <w:t>E. 3.6</w:t>
      </w:r>
    </w:p>
    <w:p>
      <w:r>
        <w:t>Selon la jurisprudence, une diminution du patrimoine due à des actes punissables (p. ex. escroquerie) ne peut pas être qualifiée de dessaisissement de fortune, étant donné que le propre d'une telle diminution du patrimoine est précisément que la victime de l'acte punissable n'est pas consciente de l'ampleur du risque de l'investissement réalisé ou qu'elle est trompée astucieusement à ce sujet (arrêt du Tribunal fédéral 9C_493/2022 du 28 septembre 2023 consid. 5).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du Tribunal fédéral 6B_653/2021 du 10 février 2022 consid. 1.3.1).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142 IV 153 consid. 2.2.2 ; 135 IV 76 consid. 5.2 ; arrêt du Tribunal fédéral précité 6B_653/2021 consid. 1.3.1).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135 IV 76 consid. 5.2 ; arrêt du Tribunal fédéral précité 6B_653/2021 consid. 1.3.1).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126 IV 165 consid. 2a ; arrêt du Tribunal fédéral précité 6B_653/2021 consid. 1.3.2). De même, il faut tenir compte des connaissances particulières et de l'expérience en affaires de la dupe (ATF 126 IV 165 consid. 2a).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 (arrêt du Tribunal fédéral précité 6B_653/2021 consid. 1.3.3).</w:t>
      </w:r>
    </w:p>
    <w:p>
      <w:r>
        <w:rPr>
          <w:b/>
        </w:rPr>
        <w:t>E. 3.7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4.1</w:t>
      </w:r>
    </w:p>
    <w:p>
      <w:r>
        <w:t>En l'espèce, il ressort de la banque de données Calvin de l'OCPM que, à l'époque où la recourante s'est inscrite pour la première fois sur un site de rencontres en automne 2023, elle vivait seule. Elle a certes un compagnon mais ils n'habitent pas ensemble. Quand bien même elle entretient de bonnes relations avec ses deux enfants, qui sont de jeunes adultes, ces derniers préfèrent « être à distance » (procès-verbal de comparution personnelle du 28 mai 2025 p. 1 et 3). La recourante, qui souffre de troubles psychiques depuis plusieurs années (rapport de la Dre G______ du 5 décembre 2024), présente une certaine vulnérabilité sur le plan sentimental et amical, et peut avoir un « moment d'aveuglement » (procès‑verbal d'enquêtes du 28 mai 2025 p. 1). Elle peut faire preuve d'un enthousiasme excessif et adopter une vision idéalisée des relations interpersonnelles (rapport de la Dre G______ du 3 juin 2025 p. 2). Si son entourage et sa psychiatre traitante, la Dre G______, l'ont mise en garde quant à l'authenticité de sa relation avec l'homme (un certain D______) avec lequel elle conversait via ce site de rencontres, la recourante restait convaincue d'être aimée, choisie et engagée dans une véritable histoire d'amour. Elle idéalisait fortement cette relation, en affirmant que « personne ne lui enlèverait un peu d'amour ». Elle reprochait à son entourage de l'empêcher d'être heureuse (rapport de la Dre G______ du 3 juin 2025 p. 2-3). Cependant, cet homme s'est présenté à la recourante sous le nom de D______ et il a allégué être directeur de la société E______ (plainte pénale du 24 octobre 2023). La recourante a appris qu'il s'agissait d'une entreprise prestigieuse (procès-verbal de comparution personnelle précité p. 3). Il lui a affirmé que son profil sur le site de rencontres lui plaisait énormément. Elle a été séduite par une première lettre, la photo de son profil et sa manière de se présenter. Ils échangeaient fréquemment, par écrit ou par téléphone. Il lui a déclaré qu'il prenait sa retraite [en 2024] et qu'il devait de l'argent à ses associés. Il lui a demandé de l'aider, tout en soulignant ne pas pouvoir s'adresser à sa famille, avec qui il était brouillé. La recourante a alors, sur le compte d'une tierce personne dont il lui avait communiqué les coordonnées, transféré plusieurs virements pour un montant total de CHF 58'500.-, entre les 12 et 23 octobre 2023. Il avait expliqué que ce tiers était la cheffe des opérations chez E______. La recourante avait effectué des recherches sur Google et constaté que le nom qu'il lui avait indiqué correspondait à celui d'un économiste. Cela l'avait confortée. Elle avait eu l'impression que D______ était sérieux et qu'il travaillait avec des gens de haut vol. Il avait signé une reconnaissance de dettes pour le premier versement et lui avait envoyé une photocopie de son passeport pour lui prouver son identité. Elle avait souhaité le rencontrer physiquement, et il lui avait proposé des dates. Il trouvait toutefois des excuses pour éviter de se retrouver face à elle, telles que le décès d'un ami, ou un séjour à Madrid pour finaliser des opérations avec ses associés. Lorsqu'elle lui posait des questions, il s'énervait et lui reprochait de ne pas lui faire confiance. Il savait très bien manier le chaud et le froid, en adoptant un discours amoureux. Aveuglée par l'amour, elle lui faisait confiance (Jugement du Tribunal de police vaudois du 23 décembre 2024 p. 5-7). Elle pensait que cet homme, qu'elle croyait être millionnaire, la rembourserait. Elle restait persuadée d'accomplir un acte juste et généreux, en soulignant qu'il était « impressionnant que même des hommes forts et riches puissent être aidés par de pauvres femmes à l'AI ». Lorsque sa psychiatre a exprimé des soupçons, la recourante a persisté sur le fait qu'il fallait croire à la magie de l'amour (rapport de la Dre G______ du 3 juin 2025 p. 3). La recourante était très amoureuse et sous emprise (procès-verbal de comparution personnelle du 28 mai 2025 p. 1). Or, il s'avère que cet homme a trompé la recourante sur son identité, son activité, ses intentions et sa situation financière. Il a inventé un faux profil sur le site de rencontres pour lui soutirer de l'argent. Il lui a faussement fait croire qu'il éprouvait pour elle des sentiments amoureux et a réussi à susciter en elle un amour sincère. Elle s'est donc retrouvée dans un état de dépendance psychique. En exploitant cet état de dépendance et en comptant sur la confiance quasi aveugle qu'il avait créée chez la recourante, il l'a déterminée à lui prêter d'importantes sommes d'argent. Il ne peut pas être reproché à la recourante un défaut d'attention, étant donné qu'elle a tenté de le rencontrer physiquement et, quoi qu'en dise l'intimé, fait des recherches sur Internet qui l'ont confortée dans son opinion selon laquelle cet homme était sérieux. Il a ainsi élaboré des stratagèmes pour la rassurer sur sa capacité de remboursement (CEO d'une société réalisant un chiffre d'affaires en milliard de dollars). Certes, le dénommé « D______ » n'apparaît pas sur Internet en rapport avec la société E______. Cette dernière a toutefois été fondée par J______, et la famille J______ se place précisément parmi les gens les plus riches du monde. L'homme concerné s'est montré inventif pour ne pas donner suite à leurs rendez-vous ainsi que sur les raisons pour lesquelles il ne pouvait pas solliciter un emprunt auprès de sa famille « J______ ». L'astuce doit ainsi être admise. À cet égard, le Tribunal de police vaudois a du reste retenu que la recourante avait été victime d'une escroquerie de type « romance scam », en relevant que d'après le rapport de police du 19 avril 2024, le « mode opératoire élaboré de ce type d'escrocs reposait sur des techniques sophistiquées de manipulation psychologique et d'ingénierie sociale. Ils utilisent souvent un ensemble de fausses informations pour construire des personnages crédibles et convaincre leurs victimes. Ils créent notamment de faux profils sur des plateformes de rencontre en ligne, des réseaux sociaux ou des sites de chat. Ces profils sont souvent accompagnés de photos attrayantes volées sur d'autres profils en ligne et d'une histoire de vie inventée pour susciter l'intérêt des victimes potentielles » (jugement du 23 décembre 2024 p. 26). Ce rapport de police, dont la copie intégrale figure dans le dossier communiqué à la chambre de céans par le Ministère public genevois dans la procédure P/8______/2024, ajoute que « les escrocs fabriquent souvent de faux passeports – comme en l'occurrence -, cartes d'identité, permis de conduire ou autres documents officiels pour corroborer l'identité qu'ils ont inventée. Ces documents peuvent être utilisés pour donner l'impression de légitimité lorsqu'ils sont partagés avec leur victime. In fine , les auteurs recourent à des outils techniques tels que des VPN pour dissimuler leur identité en ligne, rendant ainsi leur identification particulièrement difficile ». À titre de comparaison, dans un arrêt 6S.380/2001 du 13 novembre 2001 (publié à l'ATF 128 IV 255 ), le Tribunal fédéral a confirmé l'existence d'une escroquerie dans le cas d'un prévenu qui avait pris contact avec une employée en la trompant sur son identité, son activité, ses intentions et sa situation financière. Après divers téléphones, il lui avait affirmé qu'il travaillait pour une société active dans la production de films. Par la suite, il avait gagné sa confiance en l'appelant à de très nombreuses reprises et en lui faisant croire, par téléphone et par écrit, qu'il souhaitait entretenir une relation amoureuse avec elle. La victime n'avait toutefois jamais pu le rencontrer physiquement, le prévenu trouvant régulièrement des excuses, en apparence plausibles, pour éviter de lui être confronté. Elle lui avait néanmoins fait confiance, croyant à la sincérité des innombrables lettres et messages qu'il lui adressait et de ses appels téléphoniques répétés. Fort de cette confiance, elle avait commandé pour lui une grande quantité de disques pour plusieurs dizaines de milliers de francs, respectivement acheté pour son compte un appareil téléphonique portable. De même, il avait fait en sorte qu'elle souscrive pour lui, mais à ses frais, deux abonnements de téléphone auprès de Swisscom, dont il avait profité à concurrence d'environ CHF 15'000.-. Par des affirmations mensongères, il avait en outre fait croire à la victime qu'il entretenait des relations bancaires et que ses actifs lui permettaient d'assumer ses obligations.</w:t>
      </w:r>
    </w:p>
    <w:p>
      <w:r>
        <w:rPr>
          <w:b/>
        </w:rPr>
        <w:t>E. 4.2</w:t>
      </w:r>
    </w:p>
    <w:p>
      <w:r>
        <w:t>Il n'est pas certain que l'auteur D______ soit formellement identifié et qu'un jugement pénal soit rendu. Dans ces circonstances, au vu des développements qui précédent, il convient de retenir, à titre préjudiciel ( cf . arrêt du Tribunal fédéral 8C_213/2016 du 4 novembre 2016 consid. 5.2), que le prétendu D______ a intentionnellement suscité et renforcé un sentiment amoureux chez la recourante dans le but de l'amener à lui verser des valeurs patrimoniales et de bénéficier d'un enrichissement illégitime. Il a donc commis une escroquerie. Aussi la diminution de patrimoine de la recourante, due à un acte punissable, ne peut-elle pas être qualifiée de dessaisissement de fortune ( cf . consid. 3.6 supra ). Le montant que la recourante a versé en faveur du prétendu D______, à savoir CHF 61'000.- (CHF 58'500.- versés sur le compte de la tierce personne auxquels s'ajoutent les montants directement versés à lui en Bitcoins [jugement du Tribunal de police vaudois précité p. 6]), ne peut donc pas être comptabilisé dans la fortune de la recourante. Il s'ensuit que la fortune de la recourante se chiffrait à CHF 83'876.60.- au 31 décembre 2023, soit le solde de CHF 52.45 auprès de la banque B______ (1______), la part sociale auprès de la banque B______ (2______) d'une valeur de CHF 200.-, le solde de CHF 2'110.65 auprès de la banque B______ (3______), une part sociale de CHF 200.- auprès de la banque B______ (4______), un solde de CHF 180.25 auprès de la C______, un capital de CHF 68'954.05 (2 e pilier) auprès des Rentes Genevoises (police n° 5______) et un capital de CHF 12'179.20 (3 e pilier A) auprès des Rentes Genevoises (police n°6______), dont elle était libre de se faire verser le capital selon les relevés d'épargne au dossier. La fortune de CHF 83'876.60 étant inférieure au seuil de CHF 100'000.- pour les personnes seules, à l'instar de la recourante, cette dernière a en principe droit à des prestations complémentaires ( cf . art. 9 a al. 1 let. a LPC). À toutes fins utiles, on parvient aussi à une fortune inférieure audit seuil en retranchant de la fortune existante au 31 décembre 2022 la somme de CHF 61'000.-, soit CHF 159'427.27 moins CHF 61'000.-, ce qui aboutit à une fortune de CHF 98'427.27. L'on constate également que la consommation effective en 2023 était de CHF 75'550.67 (CHF 159'427.27 [fortune existante au 1 er janvier 2023] ‑ CHF 83'876.60 [fortune existante au 31 décembre 2023]). En déduisant du montant de CHF 75'550.67 la somme aliénée de CHF 61'000.-, de même que la consommation admise de 10%, soit CHF 10'000.- (159'427.27 - 61'000 = 98'427.27, montant inférieur à CHF 100'000.- ; art. 11 a al. 3 2 e phrase LPC), ainsi que le déficit de revenu de CHF 22'676.- (art. 17 d al. 3 let. b ch. 6 OPC-AVS/AI en lien avec l'art. 11 a al. 3 3 e phrase LPC), il en résulte un montant inférieur à CHF 0.-. Partant, aucun dessaisissement de fortune ne doit être pris en compte in casu .</w:t>
      </w:r>
    </w:p>
    <w:p>
      <w:r>
        <w:rPr>
          <w:b/>
        </w:rPr>
        <w:t>E. 5</w:t>
      </w:r>
    </w:p>
    <w:p>
      <w:r>
        <w:t>En conséquence, le recours sera admis et la décision sur opposition du 19 novembre 2024 annulée. La cause sera renvoyée à l'intimé pour calcul des prestations complémentaires auxquelles la recourante pourrait prétendre et nouvelle décision.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