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A/4223/2021 vom 23. März 2022</w:t>
      </w:r>
    </w:p>
    <w:p>
      <w:r>
        <w:t>GE Cour de justice, 2022-03-23, FR</w:t>
      </w:r>
    </w:p>
    <w:p>
      <w:r>
        <w:rPr>
          <w:b/>
        </w:rPr>
        <w:t xml:space="preserve">Quelle: </w:t>
      </w:r>
      <w:r>
        <w:t>https://mcp.opencaselaw.ch/entscheid/ge_gerichte_A_4223_2021</w:t>
      </w:r>
    </w:p>
    <w:p>
      <w:r>
        <w:t>FR: GE_GERICHTE A/4223/2021 du 23 mars 2022</w:t>
      </w:r>
    </w:p>
    <w:p>
      <w:r>
        <w:t>IT: GE_GERICHTE A/4223/2021 del 23 marzo 2022</w:t>
      </w:r>
    </w:p>
    <w:p>
      <w:pPr>
        <w:pStyle w:val="Heading2"/>
      </w:pPr>
      <w:r>
        <w:t>Erwägungen</w:t>
      </w:r>
    </w:p>
    <w:p>
      <w:r>
        <w:rPr>
          <w:b/>
        </w:rPr>
        <w:t>E. 4</w:t>
      </w:r>
    </w:p>
    <w:p>
      <w:r>
        <w:t>Bien que le recourant ait formé sa demande de remise le 18 décembre 2017, dans le délai d’opposition à la décision de restitution du 16 novembre 2017, il n’y a pas lieu de considérer sa demande comme une opposition. En effet, ses conclusions, arguments et développements juridiques - qu'il a ensuite repris dans son recours - portaient clairement et uniquement sur la question de la remise de l'obligation de restitution et il était assisté d’un conseil. Ainsi, c’est à juste titre que l’intimée ne s’est prononcée que sur la demande de remise et le présent litige ne porte que sur cette question (voir arrêt du Tribunal fédéral 8C_77/2018 du 30 avril 2018).![endif]&gt;![if&gt;</w:t>
      </w:r>
    </w:p>
    <w:p>
      <w:r>
        <w:rPr>
          <w:b/>
        </w:rPr>
        <w:t>E. 4.1</w:t>
      </w:r>
    </w:p>
    <w:p>
      <w:r>
        <w:t>![endif]&gt;![if&gt;</w:t>
      </w:r>
    </w:p>
    <w:p>
      <w:r>
        <w:rPr>
          <w:b/>
        </w:rPr>
        <w:t>E. 4.1.1</w:t>
      </w:r>
    </w:p>
    <w:p>
      <w:r>
        <w:t>À teneur de l’art. 25 al. 1 LPGA, les prestations indûment touchées doivent être restituées, la restitution ne pouvant toutefois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4.1).![endif]&gt;![if&gt;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4.1.2</w:t>
      </w:r>
    </w:p>
    <w:p>
      <w:r>
        <w:t>En vertu de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consid. 2.4.5 p. 17 et les références).![endif]&gt;![if&gt; Le fait de savoir si et dans quelle mesure l’obligation d’aviser a été respectée ou non pourra être jugé en fonction du cas particulier. Est déterminante l’attention qu’on est en droit d’attendre de la personne concernée. Il s’agira de prendre en considération les capacités, le niveau de formation et la capacité de discernement de la personne. Il y aura lieu d’examiner si la personne a été informée au préalable de son obligation d’informer, en particulier sur tout changement lié à son état civil, sur la reprise d’une activité lucrative ou sur la modification de son état de santé. De manière générale, les assureurs sociaux rappellent aux ayants droit leur obligation d’informer, en cas de modification des circonstances. (Guy LONGCHAMP in Commentaire romand LPGA, 2018 n. 13 et 14 ad art. 31 LPGA). Les exigences quant à la manière de transmettre la modification de circonstances ne doivent pas être trop élevées. Il suffit que la modification soit signifiée à l’organe compétent, quelle que soit la forme employée (même oralement), quitte à ce que celui-ci formule des demandes complémentaires. L’avis de la modification doit intervenir dès la connaissance des faits, sous la forme d’une seule annonce à l’assureur compétent. La personne concernée doit remplir son obligation personnellement. L’annonce doit intervenir spontanément, et non sur demande de l’assureur (Ibid. n. 16 ad art. 31 LPGA)</w:t>
      </w:r>
    </w:p>
    <w:p>
      <w:r>
        <w:rPr>
          <w:b/>
        </w:rPr>
        <w:t>E. 4.1.3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La condition de la bonne foi a notamment été niée dans le cas d’un bénéficiaire d'allocations familiales, qui avait omis d'informer les autorités du déménagement à l'étranger de son fils. Dans ce cas, le Tribunal fédéral a retenu que bien qu'il ait pu raisonnablement déduire de la convention de divorce qu'il avait toujours droit aux allocations familiales pour son fils, une fois celui-ci installé à l'étranger, cela n'était pas suffisant pour admettre sa bonne foi. Il lui incombait en l'occurrence de signaler ce changement de situation, tout comme son divorce, conformément à l'art. 31 al. 1 LPGA. Or, en omettant de le faire, l'assuré avait fait preuve de négligence grave, excluant sa bonne foi (arrêt du Tribunal fédéral 8C_364/2019 du 9 juillet 2020 consid. 5.3).</w:t>
      </w:r>
    </w:p>
    <w:p>
      <w:r>
        <w:rPr>
          <w:b/>
        </w:rPr>
        <w:t>E. 4.2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4.3</w:t>
      </w:r>
    </w:p>
    <w:p>
      <w:r>
        <w:t>En l'espèce, l'intimée a rejeté la demande de remise, au motif que la condition de la bonne foi n’était pas réalisée, le recourant n'ayant pas respecté son obligation de renseigner. ![endif]&gt;![if&gt; Il s’agit ainsi d’examiner si le recourant peut être considéré comme ayant été de bonne foi. À ce propos, ce dernier soutient avoir dûment pris le soin d'annoncer le départ de ses filles auprès du service compétent en la matière, à savoir l'OCPM. Il pouvait légitimement s'attendre à une transmission automatique des informations entre les autorités administratives cantonales. L'intimée ayant attendu plus de quatre ans pour lui signaler son erreur, il en avait déduit, de bonne foi, que le départ de ses filles n'entraînait aucune conséquence sur la perception des allocations. Son comportement ne pouvait dès lors pas être qualifié de violation grave de son devoir d'annoncer et de renseigner. Le recourant ne conteste pas avoir connu son obligation d'annoncer le déménagement de ses enfants, devoir qui est d'ailleurs mentionné clairement dans les décisions d'octroi des allocations et à l'occasion de chaque révision de celles-ci. Il expose cependant avoir pensé, de bonne foi, avoir rempli cette obligation en informant l'OCPM. Toutefois, il ressort clairement de la loi que le bénéficiaire a l'obligation de renseigner l'organe compétent. Or, le recourant n'ignorait pas recevoir ces allocations de la part de l'intimée et non de l'OCPM, qui n’est pas compétent en matière d'allocations familiales. En outre, les décisions de l'intimée mentionnaient clairement que le déménagement d'enfants devait lui être communiqué à elle. Le recourant n'avait dès lors nul besoin d'avoir une connaissance approfondie du système administratif genevois pour savoir quelle autorité informer. À tout le moins, voyant que son annonce de déménagement à l'OCPM n'avait rien modifié à son droit de percevoir des allocations, le recourant ne pouvait pas se reposer sur la supposition que les autorités administratives communiquaient entre elles et aurait dû vérifier auprès de l'intimée – même par un simple appel téléphonique – que l'information lui avait bien été transmise. Ce d'autant qu'il était également pleinement informé du fait que, dans le cas d'enfants domiciliés à l'étranger, les allocations familiales n'étaient versées que si une convention internationale le prévoyait. Ainsi, s'il ne pouvait lui être demandé de savoir qu’une telle convention existait entre la Suisse et le Maroc, il ne pouvait se contenter de déduire du fait de continuer à percevoir les allocations – d'une autorité qu'il n'avait pas directement renseignée – qu'il restait en droit de toucher ces montants. Il lui appartenait de se renseigner en contactant l'intimée. Dès lors, le recourant n'a pas rempli correctement le devoir d'information qui lui incombait, se rendant ainsi coupable, si ce n'est d'une omission intentionnelle, à tout le moins d'une négligence qui n'a pas été simplement légère, mais a revêtu un caractère de gravité suffisant pour que la condition de la bonne foi ne puisse être considérée comme étant réalisée. Il en découle que les conditions d'une remise au sens de l'art. 25 al. 1 LPGA ne sont pas réalisées. La situation financière de l'intéressé n’a pas à être examinée pour le surplus, dès lors qu’il suffit d’une condition non réalisée pour nier le droit à la remise.</w:t>
      </w:r>
    </w:p>
    <w:p>
      <w:r>
        <w:rPr>
          <w:b/>
        </w:rPr>
        <w:t>E. 5</w:t>
      </w:r>
    </w:p>
    <w:p>
      <w:r>
        <w:t>Le recourant soutient également que l'intimée a violé le principe de la célérité en rejetant son opposition, par une décision standard et sans avoir procédé à une instruction, plus de trois ans après qu'il l'a déposée. ![endif]&gt;![if&gt;</w:t>
      </w:r>
    </w:p>
    <w:p>
      <w:r>
        <w:rPr>
          <w:b/>
        </w:rPr>
        <w:t>E. 5.1</w:t>
      </w:r>
    </w:p>
    <w:p>
      <w:r>
        <w:t>![endif]&gt;![if&gt;</w:t>
      </w:r>
    </w:p>
    <w:p>
      <w:r>
        <w:rPr>
          <w:b/>
        </w:rPr>
        <w:t>E. 5.1.1</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(arrêt du Tribunal fédéral 9C_230/2018 du 4 juin 2018 consid. 3.2). À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On ne saurait par ailleurs reprocher à une autorité quelques « temps morts »; ceux-ci sont inévitables dans une procédure. Une organisation déficiente ou une surcharge structurelle ne peuvent cependant justifier la lenteur excessive d'une procédure; il appartient en effet à l'État d'organiser ses juridictions de manière à garantir aux citoyens une administration de la justice conforme aux règles (ATF 130 I 312 consid. 5.2 et les références).![endif]&gt;![if&gt;</w:t>
      </w:r>
    </w:p>
    <w:p>
      <w:r>
        <w:rPr>
          <w:b/>
        </w:rPr>
        <w:t>E. 5.1.2</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(arrêt du Tribunal fédéral 9C_426/2011 du 14 décembre 2011 consid. 3.3).![endif]&gt;![if&gt;</w:t>
      </w:r>
    </w:p>
    <w:p>
      <w:r>
        <w:rPr>
          <w:b/>
        </w:rPr>
        <w:t>E. 5.1.3</w:t>
      </w:r>
    </w:p>
    <w:p>
      <w:r>
        <w:t>La LPGA ne fixe pas de délai à l’assureur pour statuer. Toutefois, la procédure en assurances sociales doit être rapide, exigence qui dans le domaine des prestations est en lien avec le droit à des conditions minimales d’existence (Miriam LENDFERS in Basler Kommentar, Allgemeiner Teil des Sozialversicherungsrechts, 2020, n. 41 ad art. 56 LPGA). À titre d’exemple, le Tribunal fédéral a retenu qu’un délai de 15 mois pour trancher une procédure administrative ne relevait pas d’un déni de justice, au vu des mesures d’instruction particulières nécessaires (arrêt du Tribunal fédéral 9C_190/2007 du 24 septembre 2007 consid. 4.1).![endif]&gt;![if&gt;</w:t>
      </w:r>
    </w:p>
    <w:p>
      <w:r>
        <w:rPr>
          <w:b/>
        </w:rPr>
        <w:t>E. 5.1.4</w:t>
      </w:r>
    </w:p>
    <w:p>
      <w:r>
        <w:t>Dès que l'autorité a statué, le justiciable perd en principe tout intérêt juridique à faire constater un éventuel retard à statuer (ATF 136 III 497 consid. 2.1; arrêt du Tribunal fédéral 2C_1069/2019 du 14 avril 2020 consid. 5.1 in fine et 5.2). ![endif]&gt;![if&gt;</w:t>
      </w:r>
    </w:p>
    <w:p>
      <w:r>
        <w:rPr>
          <w:b/>
        </w:rPr>
        <w:t>E. 5.2</w:t>
      </w:r>
    </w:p>
    <w:p>
      <w:r>
        <w:t>En l’espèce, l'intimée a statué sur l'opposition du recourant le 5 novembre 2021 – soit avant le dépôt du recours le 13 décembre 2021 dans lequel le grief de la violation du principe de célérité a été soulevé pour la première fois – de sorte que ce grief est sans objet, faute d'intérêt actuel à la constatation d'une telle violation. ![endif]&gt;![if&gt;</w:t>
      </w:r>
    </w:p>
    <w:p>
      <w:r>
        <w:rPr>
          <w:b/>
        </w:rPr>
        <w:t>E. 6</w:t>
      </w:r>
    </w:p>
    <w:p>
      <w:r>
        <w:t>Infondé, le recours doit être rejeté.![endif]&gt;![if&gt;</w:t>
      </w:r>
    </w:p>
    <w:p>
      <w:r>
        <w:rPr>
          <w:b/>
        </w:rPr>
        <w:t>E. 7</w:t>
      </w:r>
    </w:p>
    <w:p>
      <w:r>
        <w:t>Pour le surplus la procédure est gratuite (art. 61 let. fbis a contrario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