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A/4220/2021 vom 14. September 2023</w:t>
      </w:r>
    </w:p>
    <w:p>
      <w:r>
        <w:t>GE Cour de justice, 2023-09-14, FR</w:t>
      </w:r>
    </w:p>
    <w:p>
      <w:r>
        <w:rPr>
          <w:b/>
        </w:rPr>
        <w:t xml:space="preserve">Quelle: </w:t>
      </w:r>
      <w:r>
        <w:t>https://mcp.opencaselaw.ch/entscheid/ge_gerichte_A_4220_2021</w:t>
      </w:r>
    </w:p>
    <w:p>
      <w:r>
        <w:t>FR: GE_GERICHTE A/4220/2021 du 14 septembre 2023</w:t>
      </w:r>
    </w:p>
    <w:p>
      <w:r>
        <w:t>IT: GE_GERICHTE A/4220/2021 del 14 settembre 2023</w:t>
      </w:r>
    </w:p>
    <w:p>
      <w:pPr>
        <w:pStyle w:val="Heading2"/>
      </w:pPr>
      <w:r>
        <w:t>Erwägungen</w:t>
      </w:r>
    </w:p>
    <w:p>
      <w:r>
        <w:rPr>
          <w:b/>
        </w:rPr>
        <w:t>E. 1</w:t>
      </w:r>
    </w:p>
    <w:p>
      <w:r>
        <w:t>![endif]&gt;![if&gt;</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221.229.1).![endif]&gt;![if&gt;</w:t>
      </w:r>
    </w:p>
    <w:p>
      <w:r>
        <w:rPr>
          <w:b/>
        </w:rPr>
        <w:t>E. 1.2</w:t>
      </w:r>
    </w:p>
    <w:p>
      <w:r>
        <w:t>Le contrat d'assurance d'indemnités journalières en cas de maladie couvrant le risque de perte de gain, soumis à la LCA, relève de l'assurance complémentaire à l'assurance-maladie sociale (arrêts du Tribunal fédéral 4A_47/2012 du 12 mars 2012 consid. 2 ; 4A_118/2011 du 11 octobre 2011 consid. 1.3 et les références citées).![endif]&gt;![if&gt;</w:t>
      </w:r>
    </w:p>
    <w:p>
      <w:r>
        <w:rPr>
          <w:b/>
        </w:rPr>
        <w:t>E. 1.3</w:t>
      </w:r>
    </w:p>
    <w:p>
      <w:r>
        <w:t>Selon l'art. F2 des CGA, le contrat d'assurance est régi par la LCA en complément aux CGA. ![endif]&gt;![if&gt; La compétence de la Cour de céans à raison de la matière pour juger du cas d’espèce est ainsi établie.</w:t>
      </w:r>
    </w:p>
    <w:p>
      <w:r>
        <w:rPr>
          <w:b/>
        </w:rPr>
        <w:t>E. 2</w:t>
      </w:r>
    </w:p>
    <w:p>
      <w:r>
        <w:t>![endif]&gt;![if&gt;</w:t>
      </w:r>
    </w:p>
    <w:p>
      <w:r>
        <w:rPr>
          <w:b/>
        </w:rPr>
        <w:t>E. 2.1</w:t>
      </w:r>
    </w:p>
    <w:p>
      <w:r>
        <w:t>L'art. 46 a LCA, dans sa teneur en vigueur du 1 er janvier 2006 au 31 décembre 2021, disposition qui a été abrogée lors de la révision de la LCA entrée en vigueur le 1 er janvier 2022 (Message du Conseil fédéral concernant la révision de la LCA du 28 juin 2017, FF 2017 4767 p. 4800), prescrivait que le for se définissait selon la loi du 24 mars 2000 sur les fors (LFors) qui a été abrogée au 1 er janvier 2011 par l’entrée en vigueur du CPC, auquel il convient donc de se référer.![endif]&gt;![if&gt;</w:t>
      </w:r>
    </w:p>
    <w:p>
      <w:r>
        <w:rPr>
          <w:b/>
        </w:rPr>
        <w:t>E. 2.2</w:t>
      </w:r>
    </w:p>
    <w:p>
      <w:r>
        <w:t>Sauf disposition contraire du CPC, pour les actions dirigées contre les personnes morales, le for est celui de leur siège (art. 10 al. 1 let. b CPC), étant précisé que l’art. 17 al. 1 CPC consacre la possibilité d’une élection de for écrite.![endif]&gt;![if&gt;</w:t>
      </w:r>
    </w:p>
    <w:p>
      <w:r>
        <w:rPr>
          <w:b/>
        </w:rPr>
        <w:t>E. 2.3</w:t>
      </w:r>
    </w:p>
    <w:p>
      <w:r>
        <w:t>En l’occurrence, l’art. F1 des CGA prévoit que le preneur d'assurance ou les ayants droits peuvent intenter une action contre AXA : au lieu de leur domicile en Suisse ; au lieu de leur travail en Suisse ; à Winterthur. ![endif]&gt;![if&gt; La demanderesse, en sa qualité d'assurée, ayant travaillé dans le canton de Genève, la Cour de céans est compétente à raison du lieu pour connaître de la demande.</w:t>
      </w:r>
    </w:p>
    <w:p>
      <w:r>
        <w:rPr>
          <w:b/>
        </w:rPr>
        <w:t>E. 3</w:t>
      </w:r>
    </w:p>
    <w:p>
      <w:r>
        <w:t>![endif]&gt;![if&gt;</w:t>
      </w:r>
    </w:p>
    <w:p>
      <w:r>
        <w:rPr>
          <w:b/>
        </w:rPr>
        <w:t>E. 3.1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w:t>
      </w:r>
    </w:p>
    <w:p>
      <w:r>
        <w:rPr>
          <w:b/>
        </w:rPr>
        <w:t>E. 3.2</w:t>
      </w:r>
    </w:p>
    <w:p>
      <w:r>
        <w:t>Pour le reste, la demande respecte les conditions formelles prescrites par les art. 130 et 244 CPC ainsi que les autres conditions de recevabilité prévues par l’art. 59 CPC, de sorte qu’elle est recevable.![endif]&gt;![if&gt;</w:t>
      </w:r>
    </w:p>
    <w:p>
      <w:r>
        <w:rPr>
          <w:b/>
        </w:rPr>
        <w:t>E. 4</w:t>
      </w:r>
    </w:p>
    <w:p>
      <w:r>
        <w:t>![endif]&gt;![if&gt;</w:t>
      </w:r>
    </w:p>
    <w:p>
      <w:r>
        <w:rPr>
          <w:b/>
        </w:rPr>
        <w:t>E. 4.1</w:t>
      </w:r>
    </w:p>
    <w:p>
      <w:r>
        <w:t>Sur le plan matériel, la LCA a fait l’objet d’une révision entrée en vigueur le 1 er janvier 2022 (modification du 19 juin 2020 ; RO 2020 4969 ; RO 2021 357). ![endif]&gt;![if&gt;</w:t>
      </w:r>
    </w:p>
    <w:p>
      <w:r>
        <w:rPr>
          <w:b/>
        </w:rPr>
        <w:t>E. 4.2</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![endif]&gt;![if&gt;</w:t>
      </w:r>
    </w:p>
    <w:p>
      <w:r>
        <w:rPr>
          <w:b/>
        </w:rPr>
        <w:t>E. 4.3</w:t>
      </w:r>
    </w:p>
    <w:p>
      <w:r>
        <w:t>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4812).![endif]&gt;![if&gt;</w:t>
      </w:r>
    </w:p>
    <w:p>
      <w:r>
        <w:rPr>
          <w:b/>
        </w:rPr>
        <w:t>E. 4.4</w:t>
      </w:r>
    </w:p>
    <w:p>
      <w:r>
        <w:t>En l'occurrence, le contrat d'assurance a été conclu avant le 1 er janvier 2022 et l’objet du litige ne porte ni sur des prescriptions en matière de forme, ni sur le droit de résiliation au sens des art. 35a et 35b LCA, de sorte que les dispositions de la LCA applicables seront citées dans leur ancienne teneur.![endif]&gt;![if&gt;</w:t>
      </w:r>
    </w:p>
    <w:p>
      <w:r>
        <w:rPr>
          <w:b/>
        </w:rPr>
        <w:t>E. 5</w:t>
      </w:r>
    </w:p>
    <w:p>
      <w:r>
        <w:t>Le litige porte sur le droit éventuel de la demanderesse à des indemnités journalières au-delà du 30 avril 2020, date à laquelle la défenderesse a mis fin auxdites prestations, singulièrement sur la question de savoir si la demanderesse présentait une incapacité de travail de 100% pour cause de maladie postérieurement à cette date. ![endif]&gt;![if&gt;</w:t>
      </w:r>
    </w:p>
    <w:p>
      <w:r>
        <w:rPr>
          <w:b/>
        </w:rPr>
        <w:t>E. 6</w:t>
      </w:r>
    </w:p>
    <w:p>
      <w:r>
        <w:t>![endif]&gt;![if&gt;</w:t>
      </w:r>
    </w:p>
    <w:p>
      <w:r>
        <w:rPr>
          <w:b/>
        </w:rPr>
        <w:t>E. 6.1</w:t>
      </w:r>
    </w:p>
    <w:p>
      <w:r>
        <w:t>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les a produites.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 [consid. non publié aux ATF 146 III 339 ]).</w:t>
      </w:r>
    </w:p>
    <w:p>
      <w:r>
        <w:rPr>
          <w:b/>
        </w:rPr>
        <w:t>E. 6.2</w:t>
      </w:r>
    </w:p>
    <w:p>
      <w:r>
        <w:t>Lorsque la maxime inquisitoire sociale trouve application, le juge n’est en revanche pas lié par les allégations et les offres de preuve des parties (ATF 142 III 402 consid. 2.1 ; 139 III 457 consid. 4.4.3.2). Des allégués et offres de preuve peuvent être produits par les parties jusqu’aux délibérations en application de l’art. 229 al. 3 CPC (ATF 142 III 402 consid. 2.1).![endif]&gt;![if&gt;</w:t>
      </w:r>
    </w:p>
    <w:p>
      <w:r>
        <w:rPr>
          <w:b/>
        </w:rPr>
        <w:t>E. 6.3</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2b/aa).![endif]&gt;![if&gt;</w:t>
      </w:r>
    </w:p>
    <w:p>
      <w:r>
        <w:rPr>
          <w:b/>
        </w:rPr>
        <w:t>E. 7</w:t>
      </w:r>
    </w:p>
    <w:p>
      <w:r>
        <w:t>![endif]&gt;![if&gt;</w:t>
      </w:r>
    </w:p>
    <w:p>
      <w:r>
        <w:rPr>
          <w:b/>
        </w:rPr>
        <w:t>E. 7.1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rPr>
          <w:b/>
        </w:rPr>
        <w:t>E. 7.2</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2.1.1).![endif]&gt;![if&gt;</w:t>
      </w:r>
    </w:p>
    <w:p>
      <w:r>
        <w:rPr>
          <w:b/>
        </w:rPr>
        <w:t>E. 7.3</w:t>
      </w:r>
    </w:p>
    <w:p>
      <w:r>
        <w:t>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3.4).![endif]&gt;![if&gt;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 Cette précision de jurisprudence concerne le droit matériel et est donc directement applicable (ATF 146 I 105 consid. 5.2.1 ; 140 IV 154 consid. 5.2.1), y compris au présent litige.</w:t>
      </w:r>
    </w:p>
    <w:p>
      <w:r>
        <w:rPr>
          <w:b/>
        </w:rPr>
        <w:t>E. 8</w:t>
      </w:r>
    </w:p>
    <w:p>
      <w:r>
        <w:t>![endif]&gt;![if&gt;</w:t>
      </w:r>
    </w:p>
    <w:p>
      <w:r>
        <w:rPr>
          <w:b/>
        </w:rPr>
        <w:t>E. 8.1</w:t>
      </w:r>
    </w:p>
    <w:p>
      <w:r>
        <w:t>Aux termes de l’art. 168 al. 1 CPC, les moyens de preuve sont le témoignage (let. a) ; les titres (let. b) ; l’inspection (let. c) ; l’expertise (let. d) ; les renseignements écrits (let. e) ; l’interrogatoire et la déposition de partie (let. f).![endif]&gt;![if&gt;</w:t>
      </w:r>
    </w:p>
    <w:p>
      <w:r>
        <w:rPr>
          <w:b/>
        </w:rPr>
        <w:t>E. 8.2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![endif]&gt;![if&gt;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8.2.1</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8.2.2</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arrêt du Tribunal fédéral 4D_8/2008 du 31 mars 2008 consid. 3.2.1).![endif]&gt;![if&gt;</w:t>
      </w:r>
    </w:p>
    <w:p>
      <w:r>
        <w:rPr>
          <w:b/>
        </w:rPr>
        <w:t>E. 8.2.3</w:t>
      </w:r>
    </w:p>
    <w:p>
      <w:r>
        <w:t>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Les déclarations orales d'un expert privé entendu comme témoin ne sauraient conférer une valeur de preuve aux allégations contenues dans son rapport (arrêt du Tribunal fédéral 5D_59/2018 du 31 août 2018 consid. 4.2.3 et les références).![endif]&gt;![if&gt;</w:t>
      </w:r>
    </w:p>
    <w:p>
      <w:r>
        <w:rPr>
          <w:b/>
        </w:rPr>
        <w:t>E. 8.2.4</w:t>
      </w:r>
    </w:p>
    <w:p>
      <w:r>
        <w:t>En ce qui concerne les rapports des médecins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2021 consid. 7.1).![endif]&gt;![if&gt;</w:t>
      </w:r>
    </w:p>
    <w:p>
      <w:r>
        <w:rPr>
          <w:b/>
        </w:rPr>
        <w:t>E. 9</w:t>
      </w:r>
    </w:p>
    <w:p>
      <w:r>
        <w:t>![endif]&gt;![if&gt; Depuis l'entrée en vigueur de la LAMal, le 1 er janvier 1996, les assurances complémentaires à l'assurance-maladie sociale au sens de cette loi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ATF 122 III 118 consid. 2a ;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9.1</w:t>
      </w:r>
    </w:p>
    <w:p>
      <w:r>
        <w:t>Selon l'art. B1 par. 1 des CGA, AXA sert les prestations mentionnées dans la police pour les conséquences économiques de l'incapacité de travail due à une maladie. ![endif]&gt;![if&gt; Selon l'art. A4 des CGA, est réputée maladie toute atteinte à la santé physique, mentale ou psychique qui n'est pas due à un accident et qui exige un examen ou un traitement médical et provoque une incapacité de travail (par. 1). Est réputée incapacité de travail toute perte, totale ou partielle, de l'aptitude de l'assuré à accomplir dans sa profession ou son domaine d'activité le travail qui peut raisonnablement être exigé de lui, si cette perte résulte d'une maladie. En cas d'incapacité de travail de longue durée, l'activité qui peut être exigée de lui peut aussi relever d'une autre profession ou d'un autre domaine d'activité (par. 2). Selon l'art. B8 par. 2 des CGA, lorsque l'assuré est totalement dans l'incapacité de travailler, AXA paie l'indemnité journalière mentionnée dans la police. En cas d'incapacité de travail partielle, l'indemnité est fixée proportionnellement au degré de cette incapacité ; toutefois, si l'incapacité de travail est inférieure à 25%, elle ne donne pas droit au versement d'une indemnité.</w:t>
      </w:r>
    </w:p>
    <w:p>
      <w:r>
        <w:rPr>
          <w:b/>
        </w:rPr>
        <w:t>E. 10</w:t>
      </w:r>
    </w:p>
    <w:p>
      <w:r>
        <w:t>![endif]&gt;![if&gt;</w:t>
      </w:r>
    </w:p>
    <w:p>
      <w:r>
        <w:rPr>
          <w:b/>
        </w:rPr>
        <w:t>E. 10.1</w:t>
      </w:r>
    </w:p>
    <w:p>
      <w:r>
        <w:t>En l'occurrence, la demanderesse requiert le versement d'indemnités journalières correspondant à une incapacité de travail de 100% pour la période s'étendant du 1 er mai au 12 juillet 2020, en se basant sur les certificats d'arrêt de travail et les rapports émis par son psychiatre traitant. Par contre, la défenderesse, en s'appuyant sur le rapport d'expertise psychiatrique du 4 juillet 2020, estime ne pas devoir verser ces prestations au-delà du 30 avril 2020, la demanderesse disposant d'une capacité de travail entière. ![endif]&gt;![if&gt;</w:t>
      </w:r>
    </w:p>
    <w:p>
      <w:r>
        <w:rPr>
          <w:b/>
        </w:rPr>
        <w:t>E. 10.2</w:t>
      </w:r>
    </w:p>
    <w:p>
      <w:r>
        <w:t>Cette expertise se fonde sur les rapports du psychiatre traitant, une anamnèse complète, l'examen clinique de la demanderesse qui a eu lieu le 29 juin 2020 et tient compte de ses plaintes. L'expert, sur la base de ses observations, a conclu que celle-ci ne présentait le jour de l'expertise aucun diagnostic psychiatrique (p. 12), et en conséquence, aucune limitation fonctionnelle incapacitante (p. 17), en soulignant que l'inquiétude de la demanderesse face à la précarité de sa situation financière était une réaction émotionnelle physiologique, non maladive (p. 13).![endif]&gt;![if&gt; En particulier, la demanderesse était bien orientée dans le temps et l'espace, sans trouble de la conscience ou de la vigilance, ni signe d'agitation ou trouble cognitif, ni ralentissement psychomoteur. La mémoire épisodique était bien préservée, de même que les capacités de raisonnement et de compréhension. Il n'existait pas de trouble attentionnel, de déficit de concentration, de fatigabilité mentale ou de trouble de la pensée. L'expert n'a constaté aucun symptôme de la lignée dépressive durant son examen particulièrement long (2h45, p. 2 et 14) ; la demanderesse se montrait euthymique, sans signe de réduction de l'énergie, d'anhédonie ou d'apragmatisme (p. 11). Elle ne présentait pas d'anxiété manifeste (l'attitude face à l'avenir était craintive mais pas morose), d'état d'excitation psychomotrice, d'irritabilité, ou de labilité émotionnelle (p. 13). Elle ne verbalisait pas non plus d'idées noires ou suicidaires (p. 12). Après avoir expliqué de manière circonstanciée les motifs pour lesquels le diagnostic d'épisode dépressif devait être écarté le jour de l'expertise (p. 14), l'expert a exposé les raisons pour lesquelles les autres diagnostics différentiels, dont ceux retenus par le psychiatre traitant, devaient être exclus, également au jour de l'expertise. Ainsi, le diagnostic de trouble dépressif récurrent, d'après le psychiatre traitant, paraissait infondé, en l'absence d'antécédent psychiatrique avant 2019. Le diagnostic de trouble de l'adaptation ne pouvait pas être posé, à défaut d'une perturbation émotionnelle exagérée, extrême, complètement hors de proportion par rapport à la nature du facteur de stress (les difficultés financières). Il en allait de même du diagnostic de trouble anxieux et dépressif mixte, auquel le psychiatre traitant semblait faire référence, faute d'une symptomatologie dépressive ou anxieuse suffisamment marquée, les perturbations émotionnelles liées aux facteurs de stress constituant par ailleurs un critère d'exclusion dudit diagnostic (p. 14-15). Enfin, le harcèlement dont avait été victime la demanderesse sur son lieu de travail ne constituait pas un facteur de stress assimilable à ceux (exposition à la mort effective ou à une menace de mort, à une blessure grave ou à des violences sexuelles) qui déclenchent le trouble de stress post-traumatique, auquel le psychiatre traitant faisait allusion (p. 16). S'agissant de la période antérieure au 29 juin 2020, l'expert, au vu des déclarations de la demanderesse quant aux fonctions de sa vie quotidienne, a estimé que la pleine capacité de travail devait préexister à l'expertise. Il a également relevé plusieurs incohérences. La demanderesse a déclaré avoir enseigné à ses deux enfants (six heures au quotidien) durant la période de confinement en France (de mars à juin 2020), lire des livres ou différents articles de presse, en anglais ou en français, faire des promenades au bord du lac tous les deux jours depuis l'introduction du traitement médicamenteux (soit en mai 2020), assumer différentes tâches administratives (rédaction de courriels et courriers, démarches pour défendre ses droits dans le cadre du litige avec l'assureur), regarder la télévision (émissions, reportages, nouvelles), et passer du temps avec sa famille (contacts à distance pendant le confinement ; p. 9-10). L'expert en concluait que les limitations invoquées (incapacité de travail attestée par le psychiatre traitant) n'étaient pas uniformes dans tous les domaines de la vie, rendant le comportement de la demanderesse peu cohérent, d'autant que la prescription d'un traitement anxiolytique à faible dose ne concordait pas avec la sévérité du trouble anxieux dépressif retenu par le psychiatre traitant dans son rapport du 3 juin 2020, qu'une personne atteinte d'un tel trouble sévère serait incapable d'assumer l'enseignement de deux enfants durant six heures au quotidien pendant plusieurs semaines, et que les plaintes de l'expertisée (importants troubles de la concentration et troubles mnésiques) n'étaient pas superposables aux constatations objectives cliniques (p. 17-19). Dans son rapport du 5 juillet 2021, le psychiatre traitant, qui s'est déterminé sur l'expertise, s'est contenté de répéter les symptômes de sa patiente, déjà connus de l'expert, et de confirmer ses diagnostics. À l'audience du 16 août 2022, le psychiatre traitant a affirmé que les anxiolytiques avaient eu des effets sur la vigilance, la capacité de concentration et les capacités mnésiques de sa patiente. Or, il semble ici uniquement rapporter les dires de celle‑ci, car l'expert n'a pas observé de tels symptômes, alors que la demanderesse indique présentement avoir pris deux comprimés de Xanax avant l'expertise. En outre, le psychiatre traitant s'est borné à mentionner que le comportement de la demanderesse n'était pas incohérent du fait qu'elle faisait des promenades quotidiennes et lisait, car il s'agissait là de mesures thérapeutiques qu'il lui avait prescrites. Ceci étant, le psychiatre traitant n'a aucunement contesté les autres incohérences soulevées par l'expert. Par ailleurs, dans ses rapports des 3 juin et 5 juillet 2020, le psychiatre traitant a retenu un trouble dépressif de degré sévère, totalement incapacitant. À l'audience, toutefois, il a déclaré que ce trouble était de degré moyen sous médication (soit dès mai 2020), et que l'amélioration de l'état de santé avait ensuite conduit à un arrêt de travail à 50%. Dans ses certificats d'arrêt de travail des 30 avril, 29 mai et 26 juin 2020, le psychiatre traitant ne s'est pas prononcé sur le taux de l'incapacité de travail. Cependant, dans son rapport du 4 octobre 2022, il a attesté d'une capacité de travail nulle du 31 octobre 2019 au 26 juillet 2020. Ceci vient confirmer la position de l'expert selon laquelle le psychiatre traitant faisait état d'amélioration de la situation médicale tout en reconnaissant une totale incapacité de travail, sans que l'on ne puisse pour autant comprendre quelles étaient précisément les restrictions psychiques de la demanderesse qui l'empêchaient de travailler (à un taux réduit) vu l'amélioration constatée. Pour le surplus, on ne saurait suivre la demanderesse lorsqu'elle allègue que les constatations cliniques de l'expert ne correspondraient pas à son état normal, au motif que les comprimés pris avant l'expertise avaient calmé son anxiété. Il y a plutôt lieu d'admettre, au vu des observations de l'expert et des dires du psychiatre traitant, que les médicaments ont amélioré l'état de santé de la demanderesse, en parallèle de la psychothérapie et des méthodes de thérapie naturelles. Dans son écriture du 2 décembre 2022, la demanderesse critique l'expertise, en particulier la description de sa vie quotidienne, en indiquant qu'elle ne faisait pas grand-chose au quotidien, passait ses journées à la maison et ne s'intéressait à plus rien. Or, cette description est celle qui était la sienne à la fin de l'année 2019 et au début du mois de janvier 2020 (rapport d'expertise p. 7), étant relevé que la période ici litigieuse s'étend du 1 er mai au 12 juillet 2020, que, l'expertise du 29 juin 2020, complète et détaillée, emporte la conviction, en l'absence d'une contestation motivée, et que le SMR s'est également rallié aux conclusions de l'expert (avis du 28 septembre 2021). Quant au reproche selon lequel l'expertise était de durée brève, en comparaison au suivi au long cours par le psychiatre traitant, c'est le lieu de rappeler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(arrêt du Tribunal fédéral 9C_722/2018 du 12 décembre 2018 consid. 4.2). Enfin, contrairement à ce que prétend la demanderesse, le simple fait que l'expert officie en tant que médecin-conseil d'assurance ne suffit pas encore à douter de son objectivité ni à soupçonner une prévention à l'égard de l'assuré (cf. arrêt du Tribunal fédéral 4A_172/2013 du 1 er octobre 2013 consid. 3.3), pas plus que le fait que l'expert ait eu un contact téléphonique préalable à l'expertise avec un collaborateur de la défenderesse (cf. ATAS/1140/2021 du 11 novembre 2021 consid. 8c). Lors de cet entretien, le collaborateur a indiqué à l'expert que la demanderesse n'avait pas suivi le traitement recommandé par la précédente examinatrice, en raison d'une hypersensibilité alléguée au médicament, mais qu'elle avait ensuite pris un antidépresseur à un moment coïncidant avec la fin des indemnités journalières. Le collaborateur a ajouté qu'il lui enverrait le dossier de la demanderesse, en particulier le dernier rapport du psychiatre traitant, sur quoi, l'expert a répondu qu'il connaissait « de loin » celui-ci, sans que cela ne remette en cause son impartialité. La communication de ces faits par le collaborateur ne permet pas de suspecter qu'elle a pu influencer la réflexion de l'expert, dès lors que, même si cette conversation téléphonique n'avait pas eu lieu, l'expert aurait de toute manière constaté ces faits à la lecture du dossier, en amont de l'expertise.</w:t>
      </w:r>
    </w:p>
    <w:p>
      <w:r>
        <w:rPr>
          <w:b/>
        </w:rPr>
        <w:t>E. 10.3</w:t>
      </w:r>
    </w:p>
    <w:p>
      <w:r>
        <w:t>En définitive, la demanderesse n'a pas prouvé avoir présenté une incapacité de travail totale du 1 er mai au 12 juillet 2020. ![endif]&gt;![if&gt; Au vu des considérations qui précèdent, par appréciation anticipée des preuves (ATF 143 III 297 consid. 9.3.2), il est inutile de mettre en œuvre une expertise psychiatrique judiciaire, comme le voudrait la demanderesse, d'autant que cette dernière présente une capacité de travail entière depuis le 13 juillet 2020 (rapport du psychiatre traitant du 10 juillet 2020), rendant son examen par un autre expert impossible, si ce n'est de manière rétrospective au moyen des pièces du dossier déjà discutées.</w:t>
      </w:r>
    </w:p>
    <w:p>
      <w:r>
        <w:rPr>
          <w:b/>
        </w:rPr>
        <w:t>E. 11</w:t>
      </w:r>
    </w:p>
    <w:p>
      <w:r>
        <w:t>La demande est rejetée. ![endif]&gt;![if&gt;</w:t>
      </w:r>
    </w:p>
    <w:p>
      <w:r>
        <w:rPr>
          <w:b/>
        </w:rPr>
        <w:t>E. 12</w:t>
      </w:r>
    </w:p>
    <w:p>
      <w:r>
        <w:t>Pour le surplus, il n'est pas alloué de dépens à la charge de la demanderesse (art. 22 al. 3 let. b de la loi d'application du code civil suisse et d’autres lois fédérales en matière civile du 11 octobre 2012 [LaCC - E 1 05]), ni perçu de frais judiciaires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