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A/421/2024 vom 18. August 2025</w:t>
      </w:r>
    </w:p>
    <w:p>
      <w:r>
        <w:t>GE Cour de justice, 2025-08-18, FR</w:t>
      </w:r>
    </w:p>
    <w:p>
      <w:r>
        <w:rPr>
          <w:b/>
        </w:rPr>
        <w:t xml:space="preserve">Quelle: </w:t>
      </w:r>
      <w:r>
        <w:t>https://mcp.opencaselaw.ch/entscheid/ge_gerichte_A_421_2024</w:t>
      </w:r>
    </w:p>
    <w:p>
      <w:r>
        <w:t>FR: GE_GERICHTE A/421/2024 du 18 août 2025</w:t>
      </w:r>
    </w:p>
    <w:p>
      <w:r>
        <w:t>IT: GE_GERICHTE A/421/2024 del 18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prévue par la loi (art. 61 let. b LPGA et 89B de la loi sur la procédure administrative du 12 septembre 1985 - LPA - E 5 10) et en temps utile (art. 60 al. 1 LPGA), le recours est recevable.</w:t>
      </w:r>
    </w:p>
    <w:p>
      <w:r>
        <w:rPr>
          <w:b/>
        </w:rPr>
        <w:t>E. 2</w:t>
      </w:r>
    </w:p>
    <w:p>
      <w:r>
        <w:t>Le recours porte sur la conformité au droit du refus de prestations de l'AI au recourant.</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un éventuel droit à une rente d’invalidité naîtrait au plus tôt en janvier 2022, soit six mois après le dépôt de la demande du 6 juillet 2021 (art. 29 al. 1 LAI). Les dispositions applicables seront par conséquent citées dans leur teneur en vigueur dès le 1 er janvier 2022.</w:t>
      </w:r>
    </w:p>
    <w:p>
      <w:r>
        <w:rPr>
          <w:b/>
        </w:rPr>
        <w:t>E. 4.1</w:t>
      </w:r>
    </w:p>
    <w:p>
      <w:r>
        <w:t>Selon l’art. 6 LAI, les ressortissants suisses et étrangers ainsi que les apatrides ont droit aux prestations conformément aux dispositions ci-après. L’art. 39 est réservé (al. 1). Les étrangers ont droit aux prestations de l’AI, sous réserve de l’art. 9 al. 3, aussi longtemps qu’ils conservent leur domicile et leur résidence habituelle en Suisse, mais seulement s’ils comptent, lors de la survenance de l’invalidité, au moins une année entière de cotisations ou dix ans de résidence ininterrompue en Suisse (al. 2). Selon l’art. 36 al. 1 LAI, a droit à une rente ordinaire l'assuré qui, lors de la survenance de l'invalidité, compte trois années au moins de cotisations. La condition de la durée minimale de cotisations doit être remplie au moment de la survenance de l'invalidité. Les périodes accomplies après ce terme n'entrent pas en ligne de compte (RCC 1959, p. 449 ; voir également Office fédéral des assurances sociales [ci-après : OFAS], Circulaire sur l’invalidité et les rentes dans l’assurance-invalidité [ci-après : CIRAI], n. 2100).</w:t>
      </w:r>
    </w:p>
    <w:p>
      <w:r>
        <w:rPr>
          <w:b/>
        </w:rPr>
        <w:t>E. 4.2</w:t>
      </w:r>
    </w:p>
    <w:p>
      <w:r>
        <w:t>L'invalidité est réputée survenue dès qu’elle est, par sa nature et sa gravité, propre à ouvrir droit aux prestations entrant en considération (art. 4 al. 2 LAI).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 S’agissant d’une rente, tel est le cas au plus tôt lorsqu’en vertu de cette disposition et de l’art. 8 al. 1 LPGA, en conjonction avec l’art. 28 LAI, un assuré a présenté une incapacité de travail d’au moins 40% en moyenne durant une année sans interruption notable et qu’au terme de cette année, il est invalide à 40% au moins (arrêt du Tribunal fédéral 8C_58/2019 du 22 mai 2019 consid. 2.3). La date à laquelle une demande de prestations a été présentée – l’art. 29 al. 1 LAI prévoyant que le droit à la rente prend naissance au plus tôt à l’échéance d’une période de six mois à compter de la date à laquelle l’assuré a fait valoir son droit aux prestations – n’est ainsi pas déterminante pour dater la survenance de l’invalidité, qui dépend des conditions d’octroi de la prestation en cause, qu'il s'agisse d'une rente ordinaire ou extraordinaire (arrêt du Tribunal fédéral 9C_655/2015 du 14 décembre 2015 consid. 4).</w:t>
      </w:r>
    </w:p>
    <w:p>
      <w:r>
        <w:rPr>
          <w:b/>
        </w:rPr>
        <w:t>E. 5</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6.2</w:t>
      </w:r>
    </w:p>
    <w:p>
      <w:r>
        <w:t>Selon la jurisprudence, si l'assuré peut prétendre à des prestations de l'assurance-invalidité, l'allocation d'une rente d'invalidité à l'issue du délai d'attente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w:t>
      </w:r>
    </w:p>
    <w:p>
      <w:r>
        <w:rPr>
          <w:b/>
        </w:rPr>
        <w:t>E. 6.3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6.4</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w:t>
      </w:r>
    </w:p>
    <w:p>
      <w:r>
        <w:rPr>
          <w:b/>
        </w:rPr>
        <w:t>E. 6.5</w:t>
      </w:r>
    </w:p>
    <w:p>
      <w:r>
        <w:t>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le rapport explicatif], ad art. 49 al. 1bis, p. 60).</w:t>
      </w:r>
    </w:p>
    <w:p>
      <w:r>
        <w:rPr>
          <w:b/>
        </w:rPr>
        <w:t>E. 7.1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7.2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7.3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w:t>
      </w:r>
    </w:p>
    <w:p>
      <w:r>
        <w:rPr>
          <w:b/>
        </w:rPr>
        <w:t>E. 7.4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(ATF 143 V 409 consid. 4.5.3 et 418 consid. 7.1 ; arrêts du Tribunal fédéral 8C_43/2023 du 29 novembre 2023 consid. 5.2 ;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7.5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7.6</w:t>
      </w:r>
    </w:p>
    <w:p>
      <w:r>
        <w:t>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(ATF 142 V 342 consid. 5.2.2). Une motivation particulière est nécessaire dans les cas où, exceptionnellement et pour des motifs déterminés, une durée supérieure à six mois doit être prise en compte (arrêts du Tribunal fédéral 9C_571/2023 du 11 janvier 2024 consid. 6.2 et la référence ; 9C_480/2021 du 8 novembre 2022 consid. 5.3.2 et les références).</w:t>
      </w:r>
    </w:p>
    <w:p>
      <w:r>
        <w:rPr>
          <w:b/>
        </w:rPr>
        <w:t>E. 7.7</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8.1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8.3.2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8.3.3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8.4</w:t>
      </w:r>
    </w:p>
    <w:p>
      <w:r>
        <w:t>Le Tribunal fédéral a affirmé à plusieurs reprises, en se référant à l'ATF 127 V 294 consid. 4c, que dans l'assurance-invalidité, la possibilité de traiter une affection ne s'oppose pas de manière absolue à la survenance d'une invalidité donnant droit à une rente. En effet, la possibilité de traitement, considérée en soi, ne dit encore rien sur le caractère invalidant d'une atteinte à la santé. Une atteinte à la capacité de gain doit être établie et son ampleur déterminée dans chaque cas particulier, indépendamment de la classification diagnostique d'une affection et, en principe, indépendamment de son étiologie. La question déterminante est de savoir si l'on peut raisonnablement exiger de la personne assurée qu'elle fournisse une prestation de travail. La naissance du droit à une rente d'invalidité suppose donc toujours et uniquement qu'une incapacité de travail d'au moins 40% ait existé pendant un an (sans interruption notable) et qu'une incapacité de gain justifiant le droit à une rente subsiste. Un refus ou une réduction des prestations au motif que l'assuré n'utilise pas tous les moyens de traitement présuppose une procédure selon l'art. 21 al. 4 LPGA. En l’absence d’une telle procédure, les atteintes à la santé ne peuvent pas être ignorées, lors de la détermination de la capacité de l'assuré, au seul motif qu’elles peuvent être traitées (arrêt du Tribunal fédéral 9C_327/2022 du 10 octobre 2023 consid. 4.2 et la référence).</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e l'ancienne Constitution fédérale du 29 mai 1874 (aCst.) étant toujours valable (ATF 124 V 90 consid. 4b ; 122 V 157 consid. 1d).</w:t>
      </w:r>
    </w:p>
    <w:p>
      <w:r>
        <w:rPr>
          <w:b/>
        </w:rPr>
        <w:t>E. 10.1</w:t>
      </w:r>
    </w:p>
    <w:p>
      <w:r>
        <w:t>En l'espèce, le recourant conteste avoir une capacité de travail de 75% dans une activité adaptée et ainsi l'invalidité retenue de 29%. Il affirme avoir une capacité de travail de 30% seulement, en raison de ses atteintes physiques et psychiques. Pour rendre sa décision du 9 janvier 2024, l'intimé s'est fondé sur le rapport d'expertise bi-disciplinaire rhumatologique et psychiatrique du 16 octobre 2023, que le SMR a estimé convaincant le 23 octobre 2023. C'est donc la valeur probante de ce rapport d'expertise qu'il convient d'examiner. La chambre de céans constate en premier lieu que ce rapport a été rendu en pleine connaissance du dossier, dont il comporte une synthèse en début de rapport. Les deux experts ont par ailleurs chacun procédé à une anamnèse approfondie, comprenant en particulier une anamnèse personnelle, familiale et professionnelle, décrit une journée-type et fait échos des plaintes de l'assuré (anamnèse systématique). Ils ont également chacun procédé à un examen médical et exposé leurs constatations, comprenant un status détaillé. Ils ont ensuite, chacun pour leur spécialité, abouti à des diagnostics et une appréciation de la capacité de travail du recourant clairs, bien motivés et convaincants, ainsi que répondant aux questions posées par l’assurance, étant relevé qu'en l'absence d'indice clair en faveur d'une incapacité de travail durable pour les diagnostics retenus sur le plan psychiatrique, une analyse des indicateurs n'était pas nécessaire. Finalement, et contrairement à ce qu'affirme le recourant en se plaignant de l'absence de « consilium discernable », les experts ont procédé à une évaluation consensuelle dont les résultats sont cohérents, eu égard aux conclusions des deux volets de l'expertise et en particulier à l'absence de diagnostic incapacitant retenu sur le plan psychiatrique, dont il découle que la question de la potentielle addition de différents taux d'incapacité de travail ne se posait pas. Au vu de ce qui précède, le rapport d'expertise bi-disciplinaire répond aux critères jurisprudentiels pour que lui soit reconnue une pleine valeur probante.</w:t>
      </w:r>
    </w:p>
    <w:p>
      <w:r>
        <w:rPr>
          <w:b/>
        </w:rPr>
        <w:t>E. 10.2</w:t>
      </w:r>
    </w:p>
    <w:p>
      <w:r>
        <w:t>S'agissant du volet rhumatologique de l'expertise, le recourant ne critique pas les diagnostics retenus, avec répercussion sur la capacité de travail (omalgie droite type SLAP associée à une tendinopathie du long chef du biceps, douleur chronique neurogène du poignet gauche après status post multi traumatisme, douleur chronique neurogène des poignets à prédominance gauche après status post multi traumatisme, lombalgie chronique sur trouble postural et probable fasciite plantaire gauche) ou sans dite répercussion (status post plaies par balles aux membres, asthme, céphalée de tension et orchidectomie suite à une explosion par bombe), lesquels apparaissent cohérents avec les rapports médicaux figurant au dossier. Il critique en revanche l'existence d'un problème motivationnel retenu par l'expert rhumatologue, qui n'existait pas, son comportement devant être mis en lien avec le syndrome du choc post-traumatique dont il souffrait et ne découlant pas d'un défaut de motivation. Néanmoins, l'existence ou non d'un problème motivationnel n'a été pris en compte ni au niveau des diagnostics, ni au niveau de l'évaluation de la capacité de travail dans une activité adaptée, arrêtée à 75%. Il a uniquement été pris en compte par l'expert rhumatologue pour retenir qu'une compliance optimale (physiothérapie active, participation au programme du dos des HUG et acceptation de l'intervention chirurgicale à l'épaule droite) pourrait améliorer la capacité de travail dans une activité adaptée, et donc lui permettre d'être plus élevée que les 75% retenus, en six mois. Le point critiqué par le recourant n'a ainsi aucune répercussion sur la décision de l'intimé, qui aurait d'ailleurs dû suivre la procédure prévue par l'art. 21 al. 4 LPGA s'il avait voulu en déduire des conséquences, ce qu'il n'a pas fait. Pour le reste, s'agissant des affections rhumatologiques du recourant, le médecin interniste suivant le recourant au CTG a indiqué, dans l'attestation versée à la procédure à l'appui du recours, qu'il présentait, sur le plan physique, des douleurs chroniques grevant ses capacités fonctionnelles, puis, dans son courrier du 16 juillet 2024, qu'il partageait les limitations fonctionnelles du rhumatologue, de sorte que ces pièces vont dans le même sens que les conclusions de l'expert rhumatologue.</w:t>
      </w:r>
    </w:p>
    <w:p>
      <w:r>
        <w:rPr>
          <w:b/>
        </w:rPr>
        <w:t>E. 10.3</w:t>
      </w:r>
    </w:p>
    <w:p>
      <w:r>
        <w:t>En ce qui concerne le volet psychiatrique de l'expertise, le recourant conteste l'absence de diagnostic incapacitant et en particulier le fait que l'expert n'a pas retenu de diagnostic de syndrome du stress post-traumatique. Or, l'expert a exposé ses constatations lors de l'entretien et motivé les raisons pour lesquelles il a écarté ce diagnostic, que la Dre B______ retient dans son rapport du 21 août 2021. Ainsi, il a d'emblée indiqué que même si l'assuré n'avait pas fourni de détails exhaustifs sur les événements traumatiques vécus, il n'y avait alors pas d'éléments cliniques significatifs pour présumer de la causalité d'une incapacité de travail en lien avec un diagnostic d'état de stress post-traumatique, et ceci sans que des mécanismes de défense (déni, évitement) soient identifiés ou puissent être liés. S'agissant de ses constatations, l'expert psychiatre a ensuite noté dans son anamnèse systématique qu'il n'y avait pas eu de réaction de peur intense, de sentiment d'impuissance ou d'horreur face à l'événement traumatisant (soit le fait d'avoir été enfant soldat à partir de 13 ans, puis d'avoir été emprisonné et torturé pendant un an et demi), ni de réponse émotionnelle extrêmement intense caractérisée par une peur profonde, un sentiment d'impuissance ou une horreur face à la situation traumatisante vécue, ni de reviviscence de l'événement traumatique, de moment où le souvenir de l'évènement était revenu de manière intrusive et perturbatrice, causant une détresse significative, ni de rêves répétitifs et persistants liés à l'événement traumatique, ni de sensation de revivre l'évènement sous forme d'illusions, d'hallucinations ou de flash-back , ni de sentiment de détachement d'autrui, ni de manifestation d'activation neurovégétative observée, ni d'hypovigilance rapportée. Ensuite, dans l'évaluation médicale, il a noté qu'en dépit des séquelles physiques et psychologiques de la période traumatisante vécue et malgré les épreuves subies, l'assuré avait trouvé vraisemblablement la force de se reconstruire peu à peu. Une des étapes les plus significatives de sa reconstruction avait été la fondation d'une vie sentimentale durable depuis 2014 avec la mère de son fils. Il avait trouvé une lueur d'espoir en émigrant à Genève en 2015, ce qui n'avait cependant pas été sans défis, la barrière linguistique et les ajustements culturels ayant ajouté des couches supplémentaires de complexité à son parcours déjà tumultueux. L'arrivée de son fils en janvier 2022 semblait indéniablement avoir catalysé le processus d'apaisement de l'assuré, la paternité lui ayant offert un objectif clair et vraisemblablement une source de motivation pour se reconstruire et créer un environnement sûr et aimant pour son fils. Même s'il était important de prendre en considération le vécu et l'ensemble de la situation de l'assuré, y compris ses expériences passées et traumatisantes et les obstacles surmontés, il était alors crucial de souligner que lors de l'entretien d'expertise, même en bénéficiant d'un interprète de sa langue maternelle, l'assuré n'avait pas présenté de symptômes psychologiques caractéristiques d'un diagnostic de syndrome de stress post‑traumatique qui puisse justifier de manière plausible une incapacité de travail en lien avec un tel diagnostic. L'entretien avait plutôt mis en évidence que l'assuré se concentrait sur ses douleurs, qui selon ses dires entravaient sa capacité à gérer ses activités quotidiennes. L'expert psychiatre a donc conclu qu'il n'y avait en somme pas de limitation fonctionnelle significative du point de vue psychiatrique et d'éléments cliniques justifiant alors une incapacité à travailler dans une activité adaptée à ses limitations physiques. Dans la discussion sur les diagnostics, l'expert psychiatre a à nouveau souligné que, même si les traumatismes liés à la guerre et à l'emprisonnement pouvaient certainement avoir laissé des cicatrices profondes sur le plan psychologique, il était important de noter qu'à ce stade, il n'y avait pas de signes cliniques suffisants observés pour établir un diagnostic plausible de stress post-traumatique justifiant une incapacité de travail. Le recourant affirme que ces constatations seraient en contradiction claire avec son suivi auprès de la CTG depuis plus de huit ans. Cependant, en 2021, selon la Dre B______, si le recourant avait toujours des périodes dissociatives survenant de manière imprévisible, le syndrome post-traumatique était stabilisé. Par ailleurs, en 2023, la Dre D______ estimait le recourant possiblement capable d'exercer une activité professionnelle adaptée. Il ressort en outre du dossier que le recourant ne bénéficie plus de suivi psychiatrique depuis 2022, voire novembre 2021 selon le Dr G______, et qu'il est uniquement suivi au rythme d'une fois par mois, voire moins, par une psychologue. Ces éléments tendent à confirmer l'absence de diagnostic incapacitant sur le plan psychiatrique tel que retenu par l'expert psychiatre. Par ailleurs, le recourant n'a produit aucun élément concernant son suivi psychiatrique et psychologique qui conduirait à remettre en cause les conclusions du rapport d'expertise. Il n'a en effet produit aucun rapport médical établi par les psychiatres et psychologues ayant diagnostiqué et traité le syndrome du stress post‑traumatique. De plus, si, dans les rapports produits durant la procédure de recours, le Dr G______ conclut à l'existence d'un trouble du stress post-traumatique simple au minimum, avec limitations fonctionnelles en la forme de troubles mnésiques, de concentration et de faible résistance au stress, le Dr G______ indique se prononcer « à l'examen du dossier médical du patient suivi par deux psychiatres et une psychologue pendant trois ans » et donc sur la base du dossier établi par ses collègues, lui-même n'étant pas spécialisé en psychiatrie. Il n'existe dès lors aucun élément objectif précis justifiant, d'un point de vue médical, d'envisager la situation selon une perspective différente ou, à tout le moins, de mettre en œuvre une nouvelle expertise. Finalement, le recourant ne conteste pas la journée‑type retenue par les deux experts, lesquels ont fait des constatations similaires. Or, il en ressort qu'il se lève vers 7h, effectue sa toilette, puis accomplit ses prières, prend du thé, accompagne son fils à la crèche, effectue des petites courses avec sa femme, déjeune chez lui en famille, rend visite à ses amis au magasin tamoul ou fait une promenade en solitaire et dîne avec son épouse. Il apparaît donc qu'il existe une structure quotidienne, entouré de sa famille et de ses amis. Ces éléments tendent à confirmer l'absence de trouble psychique incapacitant retenue par l'expert psychiatre. Dans ces circonstances, il n'y a pas lieu de s’écarter des conclusions de l'expertise, qui revêt pleine valeur probante, et la capacité de travail du recourant doit donc être considérée, au jour de la décision litigieuse, comme s'élevant à 75% depuis 2010 dans une activité adaptée à ses limitations fonctionnelles.</w:t>
      </w:r>
    </w:p>
    <w:p>
      <w:r>
        <w:rPr>
          <w:b/>
        </w:rPr>
        <w:t>E. 10.4</w:t>
      </w:r>
    </w:p>
    <w:p>
      <w:r>
        <w:t>Eu égard à tout ce qui précède et au vu du dossier contenant les éléments nécessaires pour trancher le litige, le recourant ayant par ailleurs eu l'occasion d'exprimer sa position par écrit à plusieurs reprises, devant l'intimé puis devant la chambre de céans, les demandes de comparution personnelle et d'expertise bi‑disciplinaire du recourant doivent être rejetées, par appréciation anticipée des preuves.</w:t>
      </w:r>
    </w:p>
    <w:p>
      <w:r>
        <w:rPr>
          <w:b/>
        </w:rPr>
        <w:t>E. 10.5</w:t>
      </w:r>
    </w:p>
    <w:p>
      <w:r>
        <w:t>Le recourant présentant, conformément au rapport d'expertise, une incapacité de travail de 25% depuis 2010, il ne remplit pas la condition d'une incapacité d'au moins 40% en moyenne durant une année sans interruption notable prévue par l'art. 28 al. 1 let. b LAI. Par ailleurs, le recourant ne remplit pas non plus la condition d'une année de cotisations ou de dix ans de résidence en Suisse au moment de la survenance de l'invalidité prévue par l'art. 6 al. 2 LAI. En effet, l'expertise fixe le début de l'incapacité de travail du recourant à 2010 et il ressort du dossier que ladite incapacité a été engendrée par les traumatismes vécus dans son pays en tant qu'enfant soldat, puis lors de son emprisonnement jusqu'en 2009. L'incapacité de travail et l'éventuelle invalidité en découlant sont ainsi survenues avant l'arrivée du recourant en Suisse en 2015, de sorte que les conditions d'assurance ne sont pas réalisées. Au vu de ce qui précède, l'intimé était fondé à refuser d'octroyer une rente au recourant, de même que des mesures professionnelles.</w:t>
      </w:r>
    </w:p>
    <w:p>
      <w:r>
        <w:rPr>
          <w:b/>
        </w:rPr>
        <w:t>E. 11</w:t>
      </w:r>
    </w:p>
    <w:p>
      <w:r>
        <w:t>Dans ces circonstances, le recours est mal fondé et sera rejeté.</w:t>
      </w:r>
    </w:p>
    <w:p>
      <w:r>
        <w:rPr>
          <w:b/>
        </w:rPr>
        <w:t>E. 12</w:t>
      </w:r>
    </w:p>
    <w:p>
      <w:r>
        <w:t>Vu l'issue du litige, un émolument de CHF 200.- sera mis à la charge du recourant (art. 69 al. 1bis LAI), et il ne lui sera pas alloué de dépens (art. 61 let. g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