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A/4218/2024 vom 25. November 2025</w:t>
      </w:r>
    </w:p>
    <w:p>
      <w:r>
        <w:t>GE Cour de justice, 2025-11-25, FR</w:t>
      </w:r>
    </w:p>
    <w:p>
      <w:r>
        <w:rPr>
          <w:b/>
        </w:rPr>
        <w:t xml:space="preserve">Quelle: </w:t>
      </w:r>
      <w:r>
        <w:t>https://mcp.opencaselaw.ch/entscheid/ge_gerichte_A_4218_2024</w:t>
      </w:r>
    </w:p>
    <w:p>
      <w:r>
        <w:t>FR: GE_GERICHTE A/4218/2024 du 25 novembre 2025</w:t>
      </w:r>
    </w:p>
    <w:p>
      <w:r>
        <w:t>IT: GE_GERICHTE A/4218/2024 del 25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ne porte que sur l’application de l’art. 33 al. 5 OAC.</w:t>
      </w:r>
    </w:p>
    <w:p>
      <w:r>
        <w:rPr>
          <w:b/>
        </w:rPr>
        <w:t>E. 2.1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2.2</w:t>
      </w:r>
    </w:p>
    <w:p>
      <w:r>
        <w:t>Commet notamment une infraction grave la personne qui conduit un véhicule automobile en état d’ébriété et présente un taux d’alcool qualifié dans l’haleine ou dans le sang (art. 16c al. 1 let. b LCR ; art. 91 al. 2 let. a LCR).</w:t>
      </w:r>
    </w:p>
    <w:p>
      <w:r>
        <w:rPr>
          <w:b/>
        </w:rPr>
        <w:t>E. 2.3</w:t>
      </w:r>
    </w:p>
    <w:p>
      <w:r>
        <w:t>Est considéré comme qualifié un taux d’alcool dans l’haleine de 0,4 milligramme ou plus par litre d’air expiré (art. 2 let. b de l’ordonnance de l’Assemblée fédérale du 15 juin 2012 concernant les taux limites d’alcool admis en matière de circulation routière - RS 741.13 ; Yvan JEANNERET/André KUHN/Cédric MIZEL/Olivier RISKE, Code suisse de la circulation routière commenté, 5 e éd. 2024, n. 2.2 art. 91 LCR).</w:t>
      </w:r>
    </w:p>
    <w:p>
      <w:r>
        <w:rPr>
          <w:b/>
        </w:rPr>
        <w:t>E. 2.4</w:t>
      </w:r>
    </w:p>
    <w:p>
      <w:r>
        <w:t>L’art. 16c al. 2 LCR prévoit qu’après une infraction grave, le permis d’élève conducteur ou le permis de conduire est retiré, au terme de la let. c, pour douze mois au minimum si, au cours des cinq années précédentes, le permis a été retiré une fois en raison d’une infraction grave ou à deux reprises en raison d’infractions moyennement graves.</w:t>
      </w:r>
    </w:p>
    <w:p>
      <w:r>
        <w:rPr>
          <w:b/>
        </w:rPr>
        <w:t>E. 2.5</w:t>
      </w:r>
    </w:p>
    <w:p>
      <w:r>
        <w:t>Selon une jurisprudence constante en matière de circulation routière, les délais de récidive (ou délais d'épreuve ; Message du Conseil fédéral du 31 mars 1999 concernant la modification de la LCR, FF 1999 IV 4106 , spé. consid. 4135) prévus par les art. 16a à c LCR commencent à courir à la fin de l'exécution d'un précédent retrait de permis (ATF 136 II 447 consid. 5.3 ; arrêts du Tribunal fédéral 1C_520/2013 du 17 septembre 2013 consid. 2 et 3 ; 1C_452/2011 du 21 août 2012 consid. 3.8 ; 1C_180/2010 du 22 septembre 2010 consid. 2 ; Cédric MIZEL, Droit et pratique illustrée du retrait du permis de conduire, 2015, n. 79.3 p. 600 s. ; Yvan JEANNERET, op. cit ., n. 4.3 ad intro art. 16 ss LCR).</w:t>
      </w:r>
    </w:p>
    <w:p>
      <w:r>
        <w:rPr>
          <w:b/>
        </w:rPr>
        <w:t>E. 2.6</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w:t>
      </w:r>
    </w:p>
    <w:p>
      <w:r>
        <w:rPr>
          <w:b/>
        </w:rPr>
        <w:t>E. 2.7</w:t>
      </w:r>
    </w:p>
    <w:p>
      <w:r>
        <w:t>Depuis le 1 er avril 2023, selon l’art. 33 al. 5 OAC,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 a) le permis a été retiré à la suite d’une infraction légère au sens de l’art. 16a LCR ; b) il n’a pas été retiré pour une durée indéterminée ou de manière définitive ; c) il n’a pas été retiré plus d’une fois au cours des cinq années précédentes. Le texte de cette disposition est clair. Comme le relève le Tribunal fédéral en se référant au commentaire publié par le département fédéral de l'environnement, des transports, de l'énergie et de la communication (DETEC) le 22 juin 2022, les trajets nécessaires à l’exercice de la profession ne pourront jamais être autorisés dans le cadre d’un retrait de permis consécutif à une infraction moyennement grave (art. 16b LCR) ou grave (art. 16c LCR), mais uniquement en cas de retrait de permis à la suite d’infractions légères au sens de l’art. 16a LCR (arrêt du Tribunal fédéral 1C_417/2022 du 3 mai 2023 consid. 4.2 ; arrêt du Tribunal cantonal fribourgeois 603 2025 37 du 7 mai 2025).</w:t>
      </w:r>
    </w:p>
    <w:p>
      <w:r>
        <w:rPr>
          <w:b/>
        </w:rPr>
        <w:t>E. 2.8</w:t>
      </w:r>
    </w:p>
    <w:p>
      <w:r>
        <w:t>En l’espèce, en réduisant à douze mois la durée du retrait, l'autorité intimée s'en est tenue à la durée minimale prévue par l'art. 16c al. 2 let. c LCR. C’est également à raison que, nonobstant le besoin professionnel invoqué par le conducteur, elle n’a pas fait usage de l’art. 33 al. 5 OAC, dès lors que la sanction se rapportait à une infraction grave. Dans ces conditions, l'autorité intimée n'a pas violé la loi, ni commis un abus ou un excès de son pouvoir d'appréciation en prononçant à l'endroit du recourant un retrait du permis de conduire pour la durée de douze mois, d’ailleurs non contestée ni en refusant l’application de l’art. 33 al. 5 OAC, les conditions d’application de la ladite disposition n’étant pas remplies. Un « assouplissement », tel que sollicité par le recourant, ne peut être envisagé au vu de la clarté du texte légal, lequel ne prévoit pas d’éventuelles dérogations. Infondé, le recours sera rejeté.</w:t>
      </w:r>
    </w:p>
    <w:p>
      <w:r>
        <w:rPr>
          <w:b/>
        </w:rPr>
        <w:t>E. 3</w:t>
      </w:r>
    </w:p>
    <w:p>
      <w:r>
        <w:t>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