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A/4217/2007 vom 29. Januar 2009</w:t>
      </w:r>
    </w:p>
    <w:p>
      <w:r>
        <w:t>GE Cour de justice, 2009-01-29, FR</w:t>
      </w:r>
    </w:p>
    <w:p>
      <w:r>
        <w:rPr>
          <w:b/>
        </w:rPr>
        <w:t xml:space="preserve">Quelle: </w:t>
      </w:r>
      <w:r>
        <w:t>https://mcp.opencaselaw.ch/entscheid/ge_gerichte_A_4217_2007</w:t>
      </w:r>
    </w:p>
    <w:p>
      <w:r>
        <w:t>FR: GE_GERICHTE A/4217/2007 du 29 janvier 2009</w:t>
      </w:r>
    </w:p>
    <w:p>
      <w:r>
        <w:t>IT: GE_GERICHTE A/4217/2007 del 29 gennaio 2009</w:t>
      </w:r>
    </w:p>
    <w:p>
      <w:pPr>
        <w:pStyle w:val="Heading2"/>
      </w:pPr>
      <w:r>
        <w:t>Regeste</w:t>
      </w:r>
    </w:p>
    <w:p>
      <w:r>
        <w:t>Commination de faillite. | Bien que retraité, le plaignant n'a pas procédé à la radiation de sa raison individuelle auprès du Registre du commerce. Il est donc sujet à la poursuite par voie de faillite, l'objet de la poursuite (prime d'assurance complémentaire) le permettant. | LP.39</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La poursuite se continue par voie de faillite lorsque le débiteur est inscrit au Registre du commerce en l’une ou l’autre des qualités énumérées exhaustivement à l’art. 39 LP, en particulier en qualité « de chef d'une raison individuelle (art. 934 et 935 CO) » (art. 39 al. 1 ch. 1 LP).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2.b. En l'espèce, l'inscription du plaignant en qualité de chef d'une raison individuelle portant le nom de " G______ X______ " a été certes radiée le 2 mai 2006, date de la publication dans la FOSC, comme il l'a indiqué lors de son audition le 15 décembre 2008. Néanmoins, après recherche de la Commission de céans, il apparaît que M. X______ a omis de signaler qu'il était inscrit sous une seconde raison individuelle, soit " M. X______ ", dès le 23 juin 1980, indiquant comme siège social le XX, avenue P______ à Genève, avec comme but la " représentation, vente et entretien de matériel et d'équipement pour l'hôtellerie ". Que cette société individuelle soit active ou pas à ce jour n'importe pas, l'inscription au Registre du commerce n'ayant jamais été radiée. C'est donc à juste titre que l'Office des poursuites lui a notifié, en date du 19 octobre 2007, une commination de faillite. Les prétentions, soit des primes d'assurances complémentaires de maladie et accident faisant l’objet de la poursuite considérée ne sont, par ailleurs, pas de celles en recouvrement desquelles l’art. 43 LP exclut la voie de la faillite. La plainte sera ainsi rejetée.</w:t>
      </w:r>
    </w:p>
    <w:p>
      <w:r>
        <w:rPr>
          <w:b/>
        </w:rPr>
        <w:t>E. 3</w:t>
      </w:r>
    </w:p>
    <w:p>
      <w:r>
        <w:t>Par contre, s'agissant du fond de la créance et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 * * * * PAR CES MOTIFS, LA COMMISSION DE SURVEILLANCE SIÉGEANT EN SECTION : A la forme : Déclare recevable la plainte formée le 29 octobre 2007 par M. X______ contre la commination de faillite notifiée dans le cadre de la poursuite n° 07 xxxx05 S. Au fond : 1. La rejette dans la mesure de sa recevabilité. 2. Déboute les parties de toutes autres conclusions. Siégeant : M. Philippe GUNTZ, président ; Mme Florence CASTELLA et M. Denis MATHEY, juges assesseur(e)s.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