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A/4206/2023 vom 12. Januar 2024</w:t>
      </w:r>
    </w:p>
    <w:p>
      <w:r>
        <w:t>GE Cour de justice, 2024-01-12, FR</w:t>
      </w:r>
    </w:p>
    <w:p>
      <w:r>
        <w:rPr>
          <w:b/>
        </w:rPr>
        <w:t xml:space="preserve">Quelle: </w:t>
      </w:r>
      <w:r>
        <w:t>https://mcp.opencaselaw.ch/entscheid/ge_gerichte_A_4206_2023</w:t>
      </w:r>
    </w:p>
    <w:p>
      <w:r>
        <w:t>FR: GE_GERICHTE A/4206/2023 du 12 janvier 2024</w:t>
      </w:r>
    </w:p>
    <w:p>
      <w:r>
        <w:t>IT: GE_GERICHTE A/4206/2023 del 12 gennaio 2024</w:t>
      </w:r>
    </w:p>
    <w:p>
      <w:pPr>
        <w:pStyle w:val="Heading2"/>
      </w:pPr>
      <w:r>
        <w:t>Erwägungen</w:t>
      </w:r>
    </w:p>
    <w:p>
      <w:r>
        <w:rPr>
          <w:b/>
        </w:rPr>
        <w:t>E. 2</w:t>
      </w:r>
    </w:p>
    <w:p>
      <w:r>
        <w:t>Selon l'art. 10 al. 2 LaLEtr, la chambre administrative doit statuer dans les dix jours qui suivent sa saisine. Ayant reçu le recours le 4 janvier 2024 et statuant ce jour, elle respecte ce délai.![endif]&gt;![if&gt;</w:t>
      </w:r>
    </w:p>
    <w:p>
      <w:r>
        <w:rPr>
          <w:b/>
        </w:rPr>
        <w:t>E. 3</w:t>
      </w:r>
    </w:p>
    <w:p>
      <w:r>
        <w:t>Est litigieuse la levée de l’interdiction de pénétrer dans tout le territoire cantonal pendant six mois, qui a été prononcée le 23 septembre 2023 et courait donc jusqu'au 22 mars 2024.![endif]&gt;![if&gt;</w:t>
      </w:r>
    </w:p>
    <w:p>
      <w:r>
        <w:rPr>
          <w:b/>
        </w:rPr>
        <w:t>E. 3.1</w:t>
      </w:r>
    </w:p>
    <w:p>
      <w:r>
        <w:t>À teneur de l’art. 10 al. 2 2 ème phr. LaLEtr, la chambre de céans est compétente pour apprécier l'opportunité des décisions portées devant elle en cette matière.![endif]&gt;![if&gt;</w:t>
      </w:r>
    </w:p>
    <w:p>
      <w:r>
        <w:rPr>
          <w:b/>
        </w:rPr>
        <w:t>E. 3.2</w:t>
      </w:r>
    </w:p>
    <w:p>
      <w:r>
        <w:t>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a).![endif]&gt;![if&gt;</w:t>
      </w:r>
    </w:p>
    <w:p>
      <w:r>
        <w:rPr>
          <w:b/>
        </w:rPr>
        <w:t>E. 3.3</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Ainsi,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w:t>
      </w:r>
    </w:p>
    <w:p>
      <w:r>
        <w:rPr>
          <w:b/>
        </w:rPr>
        <w:t>E. 3.4</w:t>
      </w:r>
    </w:p>
    <w:p>
      <w:r>
        <w:t>Une mesure basée sur l’art. 74 al. 1 let. a LEI ne présuppose pas une condamnation pénale de l’intéressé (arrêts du Tribunal fédéral 2C_884/2020 précité consid. 3.3 ; 2C_123/2021 du 5 mars 2021).![endif]&gt;![if&gt;</w:t>
      </w:r>
    </w:p>
    <w:p>
      <w:r>
        <w:rPr>
          <w:b/>
        </w:rPr>
        <w:t>E. 3.5</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citées).![endif]&gt;![if&gt; 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consid.3.4.2 ; 2C_796/2018 du 4 février 2019 consid. 4.2).</w:t>
      </w:r>
    </w:p>
    <w:p>
      <w:r>
        <w:rPr>
          <w:b/>
        </w:rPr>
        <w:t>E. 3.6</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admises.![endif]&gt;![if&gt;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rPr>
          <w:b/>
        </w:rPr>
        <w:t>E. 3.7</w:t>
      </w:r>
    </w:p>
    <w:p>
      <w:r>
        <w:t>La chambre de céans a déjà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 ATA/655/2021 du 23 juin 2021 ; ATA/802/2019 du 17 avril 2019).![endif]&gt;![if&gt; A aussi été confirmée une interdiction de pénétrer dans le canton de Genève pour une durée de douze mois dans le cas d’une personne possédant un titre de séjour en Italie, qui n’avait ni attaches ni aucun titre de séjour en Suisse. Il avait certes, indiqué, avoir des amis à Vernier, mais avait refusé de donner leur nom et leur adresse. Son allégation relative à l'existence desdites amitiés paraissait ainsi peu crédible. Il semblait d'ailleurs davantage avoir utilisé sa présence à Genève pour trouver des moyens de subvenir illégalement à ses besoins en s'adonnant au trafic de drogues. Le recourant n'avait jamais vécu ni à Genève ni en Suisse et n'y avait aucune attache familiale. Il était sans domicile et sans ressources. Aucun élément ne nécessitait ainsi sa présence à Genève. Dans ces circonstances, son intérêt privé à pouvoir venir à Genève dans les douze mois suivants cédait le pas à l'intérêt public à le tenir éloigné du canton pendant cette durée. Par conséquent, le fait d'avoir étendu la mesure d'interdiction à l'ensemble du territoire du canton de Genève n'était pas disproportionné, ni d'avoir fixé à douze mois la durée de cette mesure, étant rappelé sur ce dernier point la jurisprudence stricte du Tribunal fédéral ( ATA/806/2019 du 18 avril 2019).</w:t>
      </w:r>
    </w:p>
    <w:p>
      <w:r>
        <w:rPr>
          <w:b/>
        </w:rPr>
        <w:t>E. 3.8</w:t>
      </w:r>
    </w:p>
    <w:p>
      <w:r>
        <w:t>L'art. 8 al. 1 LaLEtr prévoit que les interdictions de quitter un territoire assigné ou de pénétrer dans une région déterminée peuvent faire l'objet d'une opposition auprès du TAPI, dans un délai de dix jours à compter de leur notification, pour contrôle de leur légalité et de leur adéquation. L'art. 8 al. 3 LaLEtr prévoit quant à lui que les demandes de levée de détention et de levée d'interdiction de quitter un territoire assigné ou de pénétrer dans une région déterminée doivent être adressées par écrit au TAPI, sans qu'aucun délai ne soit mentionné.![endif]&gt;![if&gt; Une ordonnance de classement peut constituer un fait nouveau pouvant fonder une demande de levée de la mesure d’interdiction ( ATA/373/2023 du 13 avril 2023 consid. 3.2).</w:t>
      </w:r>
    </w:p>
    <w:p>
      <w:r>
        <w:rPr>
          <w:b/>
        </w:rPr>
        <w:t>E. 3.9</w:t>
      </w:r>
    </w:p>
    <w:p>
      <w:r>
        <w:t>La présomption d'innocence, prévue par les art. 32 al. 1 Cst. et 6 § 2 de la Convention de sauvegarde des droits de l’homme et des libertés fondamentales du 4 novembre 1950 (CEDH - RS 0.101), s'applique en matière de procédure pénale. Elle constitue un aspect particulier du droit à un procès équitable garanti à l'art. 6 § 1 CEDH (ACEDH Janosevic c. Suède du 23 juillet 2002, req.  n° 34619/97, § 96 ; Phillips c. Royaume 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série A n. 146, § 77).![endif]&gt;![if&gt; Selon la jurisprudence européenne, les membres d'un autre pouvoir – ou d'un autre tribunal, voire du tribunal de jugement dans des ordonnances préliminaires – ne doivent pas faire de déclarations ni prendre de décisions qui équivalent à une condamnation avant terme, ou à une remise en question d’un acquittement ou d’un classement (ACEDH Nadir Yıldırım et autres c. Turquie du 28 novembre 2023, req. n° 39712/16, § 66 [ordonnance préliminaire du tribunal de jugement demandant la levée de l'immunité parlementaire] ; Butkevicius c. Lituanie, du 26 mars 2002, Rec. 2002-II [conférence de presse donnée par les enquêteurs] ; Allenet de Ribemont c. France du 10 février 1995, série A n o 308 [déclaration du Garde des sceaux à la télévision]). Plus spécifiquement, la CourEDH reconnaît dans sa jurisprudence l’existence de deux aspects de l'art. 6 § 2 CEDH, à savoir un aspect procédural relatif au déroulement du procès pénal lui-même, et un second aspect qui tend à assurer le respect d’une déclaration d’innocence dans le cadre d’une procédure ultérieure, lorsqu’il existe un lien avec une procédure pénale ayant abouti à un résultat autre qu’une condamnation. Dans le cadre de ce second aspect, le but est d’empêcher que des individus ayant bénéficié d’un acquittement ou d’un abandon des poursuites soient traités par des autorités ou des agents publics comme s’ils étaient en fait coupables de l’infraction qui leur avait été imputée, sans quoi les garanties énoncées à l’art. 6 § 2 CEDH risqueraient de devenir théoriques et illusoires. Ce qui est également en jeu, une fois la procédure pénale achevée, est la réputation de l’intéressé et la manière dont celui-ci est perçu par le public ; dans une certaine mesure, la protection offerte par l’art. 6 § 2 à cet égard peut donc recouvrir celle qu’apporte l’art. 8 CEDH. Dans tous les cas et indépendamment de l’approche adoptée, le vocabulaire employé par l’autorité qui statue – en l’occurrence les juridictions administratives –, revêt une importance cruciale lorsqu’il s’agit d’apprécier sa compatibilité avec l’art. 6 § 2 CEDH. La CourEDH a dans ce cadre reconnu une violation de l'art. 6 § 2 CEDH dans le cas d'un tribunal administratif ayant considéré dans une procédure disciplinaire contre un fonctionnaire qu’il était « évident » que l'intéressé avait « commis un harcèlement sexuel » sur une personne donnée, et que cela portait atteinte à l’irréprochabilité attendue des fonctionnaires, ceci alors qu'un non-lieu avait été prononcé au pénal (ACEDH U.Y. c. Turquie du 10 octobre 2023, req. n° 58073/17, § 47 à 54).</w:t>
      </w:r>
    </w:p>
    <w:p>
      <w:r>
        <w:rPr>
          <w:b/>
        </w:rPr>
        <w:t>E. 3.10</w:t>
      </w:r>
    </w:p>
    <w:p>
      <w:r>
        <w:t>En l'espèce, une ordonnance de classement a été prononcée le 14 décembre 2023 dans la P/20516/2023 engagée contre l'intimée. Le Ministère public a ainsi retenu que « seule la détention de produits stupéfiants, destinés à sa propre consommation, peut être reprochée au prévenu. Or, au vu de la faible quantité de cannabis détenue, il ne s’est pas rendu coupable de contravention à la loi fédérale sur les stupéfiants ». Il ne saurait dès lors être retenu, dans une procédure administrative parallèle, qu'il a participé à un trafic de stupéfiants alors qu'une ordonnance de classement – valant acquittement à teneur de l'art. 320 al. 4 CPP – a été rendue, sous peine de violer la présomption d'innocence au sens de la jurisprudence précitée. Que les faits aient été constatés par des agents assermentés n'y change rien.![endif]&gt;![if&gt; Reste que l'intimé détenait du haschich pour sa propre consommation et n'a pas contesté se trouver dans un lieu notoire de revente de stupéfiants (carrefour entre la rue du Môle et la rue de Berne aux Pâquis), étant rappelé d'une part qu'une mesure basée sur l’art. 74 al. 1 let. a LEI ne présuppose pas une condamnation pénale de l’intéressé, et qu'elle peut se fonder à teneur de la jurisprudence sur la seule possession de stupéfiants destinés à une consommation personnelle, ce qui est le cas en l'espèce. Dès lors, le classement de la procédure pénale ne suffisait pas à permettre la levée de la mesure d'interdiction de périmètre. Il y a cependant lieu d'examiner la question sous l'angle du principe de la proportionnalité. L'intimé est un ressortissant français domicilié en Haute-Savoie, qui dit n'avoir de casier judiciaire ni en Suisse ni en France ; il a allégué s'être rendu à Genève le jour où il a été appréhendé pour remettre des demandes d'emploi à de potentiels employeurs, et devoir s'y rendre le cas échéant de nouveau. Dans ces conditions, au vu de la faible atteinte à la sécurité et à l'ordre publics que représente la simple possession de cannabis à des fins de consommation personnelle, la mesure pourrait être levée, ou devrait ne pas être renouvelée, si l'intimé prouvait les recherches d'emploi précitées, ou une quelconque autre nécessité de se rendre dans le canton de Genève. Or tel n'est toutefois pas le cas, le dossier ne contenant aucune pièce étayant, même partiellement, les affirmations de l'intimé à cet égard. Dès lors, la mesure litigieuse, qui ne court que jusqu'au 22 mars 2024 reste conforme au principe de la proportionnalité, l'intimé n'ayant pas allégué d'autres nécessités de se rendre à Genève. Il découle de ce qui précède que le recours doit être admis et l'interdiction de périmètre du 23 septembre 2023 rétablie.</w:t>
      </w:r>
    </w:p>
    <w:p>
      <w:r>
        <w:rPr>
          <w:b/>
        </w:rPr>
        <w:t>E. 4</w:t>
      </w:r>
    </w:p>
    <w:p>
      <w:r>
        <w:t>La procédure étant gratuite, aucun émolument de procédure ne sera prélevé (art. 87 al. 1 LPA cum art. 12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