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A/4200/2013 vom 23. Januar 2014</w:t>
      </w:r>
    </w:p>
    <w:p>
      <w:r>
        <w:t>GE Cour de justice, 2014-01-23, FR</w:t>
      </w:r>
    </w:p>
    <w:p>
      <w:r>
        <w:rPr>
          <w:b/>
        </w:rPr>
        <w:t xml:space="preserve">Quelle: </w:t>
      </w:r>
      <w:r>
        <w:t>https://mcp.opencaselaw.ch/entscheid/ge_gerichte_A_4200_2013</w:t>
      </w:r>
    </w:p>
    <w:p>
      <w:r>
        <w:t>FR: GE_GERICHTE A/4200/2013 du 23 janvier 2014</w:t>
      </w:r>
    </w:p>
    <w:p>
      <w:r>
        <w:t>IT: GE_GERICHTE A/4200/2013 del 23 gennaio 2014</w:t>
      </w:r>
    </w:p>
    <w:p>
      <w:pPr>
        <w:pStyle w:val="Heading2"/>
      </w:pPr>
      <w:r>
        <w:t>Volltext</w:t>
      </w:r>
    </w:p>
    <w:p>
      <w:r>
        <w:t>Genève Cour de justice (Cour de droit public) Chambre administrative 23.01.2014 A/4200/2013</w:t>
      </w:r>
    </w:p>
    <w:p>
      <w:r>
        <w:t>A/4200/2013 ATA/40/2014 du 23.01.2014 ( FPUBL ) , REFUSE RÉPUBLIQUE ET CANTON DE GENÈVE POUVOIR JUDICIAIRE A/4200/2013 - FPUBL ATA/40/2014 COUR DE JUSTICE Chambre administrative Décision du 23 janvier 2014 sur effet suspensif dans la cause Monsieur X______ représenté par Me Robert Assaël, avocat contre CONSEIL D'ETAT Vu l'arrêté du 18 décembre 2013 du Conseil d'Etat, révoquant Monsieur X______ de sa fonction de gardien principal-adjoint de prison avec effet au 31 mars 2014, ladite décision étant en outre déclarée exécutoire nonobstant recours ; vu le recours formé le 17 décembre 2013 devant la chambre administrative de la Cour de justice (ci-après : la chambre administrative) par M. X______, concluant préalablement à la restitution de l'effet suspensif et, au fond, principalement à l'annulation de cet arrêté et à l'allocation d'une indemnité équitable pour les frais indispensables au recours ; vu les observations du Conseil d'Etat, concluant au rejet de la demande de restitution de l'effet suspensif et à la condamnation du recourant aux frais de la cause ; vu l’art. 7 al. 1 du règlement interne de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in RDS 1997 II 253 -420, 265) ; que selon l'arrêté querellé, le recourant a gravement enfreint les art. 8 et 9 let. g du règlement sur l'organisation et le personnel de la prison du 30 septembre 1985 (ROPP - F 1 50.01) en frappant un détenu d'un coup de poing au visage, en lui assénant un coup de pied dans les parties basses du corps et en esquissant un mouvement de pied au niveau de sa tête dans le but de le frapper pour finalement y renoncer ; que le recourant conteste le coup de poing, mais admet avoir asséné un coup de pied aux fesses du détenu après que ce dernier aurait proféré des menaces de mort à l'encontre de son fils et de lui-même, et allègue que le positionnement du pied sur la tête du détenu devait servir à le maîtriser si besoin ; que l'intimé a expressément exclu une réintégration du recourant ; que même si elle donnait raison à celui-ci sur le fond, la chambre de céans ne pourrait pas imposer sa réintégration, le recourant reconnaissant et regrettant une violation de ses devoirs de service ou fonction au sens de l'art. 20A al. 3 de la loi sur l'organisation et le personnel de la prison du 21 juin 1984 (LOPP - F 1 50), le coup de pied aux fesses constituant selon toute vraisemblance un usage de la force sans y être contraint au sens de l'art. 9 let. g ROPP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les difficultés financières et la charge financière de l'enfant mineur invoquées par le recourant, aussi importantes soient-elles, ne sauraient l’emporter sur l’intérêt public à ce qu’une collectivité ne soit pas contrainte à continuer d’employer et de rémunérer une personne dont elle a clairement manifesté la volonté de se séparer alors que l’arrêt au fond ne pourrait imposer une telle issue, étant en outre relevé qu'en cas de succès du recours, l'Etat serait notoirement à même d’en assurer les conséquences financières, ce qui constitue une garantie suffisante pour l'intéressé ( ATA/608/2013 du 13 septembre 2013 ; ATA/209/2013 du 8 avril 2013) ; qu'enfin, l'éventuelle démission à laquelle serait contraint le recourant pour trouver un travail rémunéré en cas de non-restitution de l'effet suspensif ne saurait en tout état de cause, dans le cadre de la présente procédure de restitution de l'effet suspensif, avoir de portée propre par rapport à la révocation ; qu’au vu de ce qui précède, la demande de restitution de l’effet suspensif sera refusée, le sort des frais de la procédure étant réservé jusqu’à droit jugé au fond. LA CHAMBRE ADMINISTRATIVE refuse de restituer l’effet suspensif au recours de Monsieur X______ ; impartit au Conseil d’Etat un délai au 28 février 2014 pour répondre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du recourant, ainsi qu'au Conseil d'Etat.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