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A/419/2023 vom 23. Mai 2023</w:t>
      </w:r>
    </w:p>
    <w:p>
      <w:r>
        <w:t>GE Cour de justice, 2023-05-23, FR</w:t>
      </w:r>
    </w:p>
    <w:p>
      <w:r>
        <w:rPr>
          <w:b/>
        </w:rPr>
        <w:t xml:space="preserve">Quelle: </w:t>
      </w:r>
      <w:r>
        <w:t>https://mcp.opencaselaw.ch/entscheid/ge_gerichte_A_419_2023</w:t>
      </w:r>
    </w:p>
    <w:p>
      <w:r>
        <w:t>FR: GE_GERICHTE A/419/2023 du 23 mai 2023</w:t>
      </w:r>
    </w:p>
    <w:p>
      <w:r>
        <w:t>IT: GE_GERICHTE A/419/2023 del 23 maggio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et 63 al. 1 let. c de la loi sur la procédure administrative du 12 septembre 1985 - LPA - E 5 10), délai qui a été observé en l’occurrence.![endif]&gt;![if&gt; Selon l'art. 57 LPA, le recours contre une décision incidente est recevable si un dommage irréparable peut être causé. Tel est le cas en l'espèce, le renvoi du recourant à l'étranger pouvant causer un tel dommage ( ATA/191/2023 du 28 février 2023 consid. 2 ; ATA/1332/2020 du 22 décembre 2020 consid. 1b). Le recours est ainsi recevable.</w:t>
      </w:r>
    </w:p>
    <w:p>
      <w:r>
        <w:rPr>
          <w:b/>
        </w:rPr>
        <w:t>E. 2</w:t>
      </w:r>
    </w:p>
    <w:p>
      <w:r>
        <w:t>Il convient d’examiner si le refus de restituer l’effet suspensif et d’accorder des mesures provisionnelles au recourant était fondé, l’effet suspensif au recours formé par la recourante et les trois enfants découlant de la loi (art. 66 al. 1 LPA), ce qui n’est pas remis en cause. ![endif]&gt;![if&gt;</w:t>
      </w:r>
    </w:p>
    <w:p>
      <w:r>
        <w:rPr>
          <w:b/>
        </w:rPr>
        <w:t>E. 2.1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LPA).![endif]&gt;![if&gt;</w:t>
      </w:r>
    </w:p>
    <w:p>
      <w:r>
        <w:rPr>
          <w:b/>
        </w:rPr>
        <w:t>E. 2.2</w:t>
      </w:r>
    </w:p>
    <w:p>
      <w:r>
        <w:t>Les demandes en reconsidération n’entraînent ni interruption de délai ni effet suspensif (art. 48 al. 2 LPA).![endif]&gt;![if&gt;</w:t>
      </w:r>
    </w:p>
    <w:p>
      <w:r>
        <w:rPr>
          <w:b/>
        </w:rPr>
        <w:t>E. 2.3</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w:t>
      </w:r>
    </w:p>
    <w:p>
      <w:r>
        <w:rPr>
          <w:b/>
        </w:rPr>
        <w:t>E. 2.4</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 Dans cette dernière hypothèse, seul l'octroi de mesures provisionnelles est envisageable ( ATA/191/2023 précité consid. 4.5 ; ATA/1369/2018 du 18 décembre 2018 consid. 3a ; ATA/70/2014 du 5 février 2014 consid. 4b).![endif]&gt;![if&gt;</w:t>
      </w:r>
    </w:p>
    <w:p>
      <w:r>
        <w:rPr>
          <w:b/>
        </w:rPr>
        <w:t>E. 2.5</w:t>
      </w:r>
    </w:p>
    <w:p>
      <w:r>
        <w:t>En l’espèce, le recourant fait l’objet d’une décision définitive et exécutoire de renvoi. La décision de l’OCPM attaquée devant le TAPI constitue un refus d'entrer en matière sur une demande de reconsidération. N’étant plus en possession d'un droit de séjour, la restitution de l'effet suspensif demeurerait sans portée. Le TAPI a donc, à juste titre, traité sa requête comme une requête de mesures provisionnelles.![endif]&gt;![if&gt;</w:t>
      </w:r>
    </w:p>
    <w:p>
      <w:r>
        <w:rPr>
          <w:b/>
        </w:rPr>
        <w:t>E. 3</w:t>
      </w:r>
    </w:p>
    <w:p>
      <w:r>
        <w:t>L'autorité peut d'office ou sur requête ordonner des mesures provisionnelles en exigeant au besoin des sûretés (art. 21 al. 1 LPA).![endif]&gt;![if&gt;</w:t>
      </w:r>
    </w:p>
    <w:p>
      <w:r>
        <w:rPr>
          <w:b/>
        </w:rPr>
        <w:t>E. 3.1</w:t>
      </w:r>
    </w:p>
    <w:p>
      <w:r>
        <w:t>Selon la jurisprudence, des mesures provisionnelles ne sont légitimes que si elles s'avèrent indispensables au maintien d'un état de fait ou à la sauvegarde d'intérêts compromis (ATF 119 V 503 consid. 3 ; ATA/1369/2018 précité consid. 3b ; ATA/566/2012 du 21 août 2012 consid. 4).![endif]&gt;![if&gt;</w:t>
      </w:r>
    </w:p>
    <w:p>
      <w:r>
        <w:rPr>
          <w:b/>
        </w:rPr>
        <w:t>E. 3.2</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265).![endif]&gt;![if&gt;</w:t>
      </w:r>
    </w:p>
    <w:p>
      <w:r>
        <w:rPr>
          <w:b/>
        </w:rPr>
        <w:t>E. 3.3</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cités).![endif]&gt;![if&gt;</w:t>
      </w:r>
    </w:p>
    <w:p>
      <w:r>
        <w:rPr>
          <w:b/>
        </w:rPr>
        <w:t>E. 3.4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w:t>
      </w:r>
    </w:p>
    <w:p>
      <w:r>
        <w:rPr>
          <w:b/>
        </w:rPr>
        <w:t>E. 3.5</w:t>
      </w:r>
    </w:p>
    <w:p>
      <w:r>
        <w:t>En l’espèce, octroyer au recourant, sous la forme de mesures provisionnelles, le droit de rester en Suisse durant la procédure par-devant le TAPI irait au-delà de ce que la juridiction pourrait ordonner en cas d’admission du recours, qui se limiterait à ordonner à l’autorité d’entrer en matière. Pour ce premier motif déjà, il ne peut être fait droit à la requête de mesures provisionnelles.![endif]&gt;![if&gt; Le recourant critique la pesée des intérêts effectué par le TAPI. Le juge de première instance a retenu l’intérêt public à la sécurité du droit, au vu des décisions définitives et exécutoires dirigées contre le recourant, l’intérêt public à ne pas encourager la politique du fait accompli, ainsi que celui au respect de l’égalité de traitement entre les justiciables soumis à la LEI. Il a considéré que l’intérêt privé à rester en Suisse du recourant devait être relativisé, celui-ci sachant, lorsqu’il avait fondé une famille, qu’il n’était pas autorisé à séjourner en Suisse, qu’il n’avait pas expliqué quels problèmes entraîneraient pour la famille son départ, étant rappelé que seule la recourante avait un emploi aux fins de subvenir financièrement aux besoins de la famille. Ce faisant, le TAPI a retenu des intérêts pertinents et les a pesés sans abuser de son pouvoir d’appréciation. Certes, le TAPI n’a pas évoqué l’intérêt des enfants à pouvoir rester auprès du recourant. Cet intérêt doit être relativisé par le fait que les enfants sont nés après l’entrée en force de la décision de renvoi de celui-ci et qu’ils ne bénéficient d’aucune autorisation de séjourner en Suisse. Même le certificat médical versé à la procédure en mai 2023 n’impose pas la présence du père, s’agissant uniquement d’un suivi par la guidance infantile, l’attestation ne comportant pour le surplus aucune précision supplémentaire. L’argument selon lequel l’intéressé est empêché de travailler alors qu’il pourrait contribuer à améliorer la situation financière de la famille doit être écarté, celui-ci n’ayant pas de droit de séjour en Suisse ni l’autorisation d’y travailler. Un éventuel droit découlant de l’art. 8 CEDH n’est pas établi, est contesté par l’autorité intimée et fait l’objet du présent recours, à l’instar de la perte dudit droit en cas de réunion de la famille à l’étranger. Il sera analysé au fond. En l’état, le recourant fait l’objet d’une décision définitive et exécutoire de renvoi depuis de nombreuses années, et,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ne peut se prévaloir du fait accompli. L'intérêt public au respect des décisions entrées en force est prépondérant face à l'intérêt privé du recourant, et de ses proches, de demeurer en Suisse pendant la procédure. Ainsi, au vu de l’ensemble des éléments qui précèdent, le TAPI n’a pas violé la loi ni abusé de son pouvoir d’appréciation en refusant les mesures sollicitées. Mal fondé, le recours sera rejeté et la décision querellée confirmée.</w:t>
      </w:r>
    </w:p>
    <w:p>
      <w:r>
        <w:rPr>
          <w:b/>
        </w:rPr>
        <w:t>E. 4</w:t>
      </w:r>
    </w:p>
    <w:p>
      <w:r>
        <w:t>Vu l’issue du litige, un émolument de CHF 400.- sera mis à la charge solidaire des recourants (art. 87 al. 1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