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A/4193/2023 vom 8. Oktober 2024</w:t>
      </w:r>
    </w:p>
    <w:p>
      <w:r>
        <w:t>GE Cour de justice, 2024-10-08, FR</w:t>
      </w:r>
    </w:p>
    <w:p>
      <w:r>
        <w:rPr>
          <w:b/>
        </w:rPr>
        <w:t xml:space="preserve">Quelle: </w:t>
      </w:r>
      <w:r>
        <w:t>https://mcp.opencaselaw.ch/entscheid/ge_gerichte_A_4193_2023</w:t>
      </w:r>
    </w:p>
    <w:p>
      <w:r>
        <w:t>FR: GE_GERICHTE A/4193/2023 du 8 octobre 2024</w:t>
      </w:r>
    </w:p>
    <w:p>
      <w:r>
        <w:t>IT: GE_GERICHTE A/4193/2023 del 8 ottobre 2024</w:t>
      </w:r>
    </w:p>
    <w:p>
      <w:pPr>
        <w:pStyle w:val="Heading2"/>
      </w:pPr>
      <w:r>
        <w:t>Erwägungen</w:t>
      </w:r>
    </w:p>
    <w:p>
      <w:r>
        <w:rPr>
          <w:b/>
        </w:rPr>
        <w:t>E. 2</w:t>
      </w:r>
    </w:p>
    <w:p>
      <w:r>
        <w:t>Seule est litigieuse la question de savoir si le renvoi des recourants est exigible, au vu de leurs problèmes de santé.</w:t>
      </w:r>
    </w:p>
    <w:p>
      <w:r>
        <w:rPr>
          <w:b/>
        </w:rPr>
        <w:t>E. 2.1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2.2</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2.3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 ATA/801/2018 précité consid. 10d et les arrêts cités ; arrêts du TAF F‑1602/2020 du 14 février 2022 consid. 5.3.4).</w:t>
      </w:r>
    </w:p>
    <w:p>
      <w:r>
        <w:rPr>
          <w:b/>
        </w:rPr>
        <w:t>E. 2.4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w:t>
      </w:r>
    </w:p>
    <w:p>
      <w:r>
        <w:rPr>
          <w:b/>
        </w:rPr>
        <w:t>E. 2.5</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CourEDH a précisé qu’il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w:t>
      </w:r>
    </w:p>
    <w:p>
      <w:r>
        <w:rPr>
          <w:b/>
        </w:rPr>
        <w:t>E. 2.6</w:t>
      </w:r>
    </w:p>
    <w:p>
      <w:r>
        <w:t>Dans sa jurisprudence, la chambre administrative ( ATA/1046/2023 du 26 septembre 2023) a retenu que la possibilité d’accéder aux soins essentiels nécessaires dans le domaine de la psychiatrie existait au Kosovo. Depuis 2000, le nombre d’établissements de soins de santé mentale y a considérablement augmenté et les soins psychiatriques de niveau secondaire sont dispensés dans les services psychiatriques des hôpitaux régionaux de Prizren, Pejë/Pec, Gjakovë/Djakovica, Ferizaj/Urosevac et Gjilan/Gnjilane et Mitrovicë/Mitrovica ainsi qu’à l’hôpital universitaire de Pristina ( ATA/811/2024 du 9 juillet 2024 consid. 4.5 ; ATA/332/2024 du 5 mars 2024 ; ATA/1274/2023 du 28 novembre 2023 consid. 3.10 ; ATA/1046/2023 du 26 septembre 2023).</w:t>
      </w:r>
    </w:p>
    <w:p>
      <w:r>
        <w:rPr>
          <w:b/>
        </w:rPr>
        <w:t>E. 2.7</w:t>
      </w:r>
    </w:p>
    <w:p>
      <w:r>
        <w:t>En l’espèce, il n’est pas contesté que les recourants sont tous deux atteints dans leur santé psychique. Contrairement à ce qu’ils font valoir, le TAPI n’a nullement ignoré ces problèmes de santé ni leur importance ni d’ailleurs le risque d’une péjoration en cas de renvoi. Il a, au contraire, examiné si des soins adéquats étaient disponibles au Kosovo visant spécifiquement la prise en charge d’affections psychiatriques. À cet égard, il a, à juste titre, retenu que des centres médicaux et services psychiatriques des hôpitaux régionaux ainsi que l’hôpital universitaire de Pristina prenaient en charge ce type d’affection, comme l’a déjà constaté à plusieurs reprises la chambre administrative (consid. 2.6). Il est possible, comme le font valoir les recourants, que la qualité des soins ne soit pas aussi élevée qu’en Suisse. Il n’en demeure pas moins que les soins médicaux dans le domaine psychiatrique sont disponibles au Kosovo. De plus, conformément à la jurisprudence précitée, la péjoration éventuelle de l’état psychique des recourants, notamment du recourant, en cas de retour ne constituerait en principe pas un obstacle à l'exécution de son renvoi. Au vu de la disponibilité de soins psychiatriques au Kosovo, son affection pourra être prise en charge. Au vu de cette disponibilité, l’atteinte à la santé des recourants n’atteint pas un degré de gravité suffisant pour retenir que leur renvoi serait de nature à mettre concrètement leur vie en danger ou à causer une atteinte sérieuse, durable et grave de leur intégrité psychique. Leur renvoi est donc possible, licite et raisonnablement exigible. Mal fondé, le recours sera rejeté.</w:t>
      </w:r>
    </w:p>
    <w:p>
      <w:r>
        <w:rPr>
          <w:b/>
        </w:rPr>
        <w:t>E. 3</w:t>
      </w:r>
    </w:p>
    <w:p>
      <w:r>
        <w:t>Vu l’issue du litige, un émolument de CHF 400.- sera mis à la charge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