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A/4192/2005 vom 13. Oktober 2005</w:t>
      </w:r>
    </w:p>
    <w:p>
      <w:r>
        <w:t>GE Cour de justice, 2005-10-13, FR</w:t>
      </w:r>
    </w:p>
    <w:p>
      <w:r>
        <w:rPr>
          <w:b/>
        </w:rPr>
        <w:t xml:space="preserve">Quelle: </w:t>
      </w:r>
      <w:r>
        <w:t>https://mcp.opencaselaw.ch/entscheid/ge_gerichte_A_4192_2005</w:t>
      </w:r>
    </w:p>
    <w:p>
      <w:r>
        <w:t>FR: GE_GERICHTE A/4192/2005 du 13 octobre 2005</w:t>
      </w:r>
    </w:p>
    <w:p>
      <w:r>
        <w:t>IT: GE_GERICHTE A/4192/2005 del 13 ottobre 2005</w:t>
      </w:r>
    </w:p>
    <w:p>
      <w:pPr>
        <w:pStyle w:val="Heading2"/>
      </w:pPr>
      <w:r>
        <w:t>Erwägungen</w:t>
      </w:r>
    </w:p>
    <w:p>
      <w:r>
        <w:rPr>
          <w:b/>
        </w:rPr>
        <w:t>E. 4</w:t>
      </w:r>
    </w:p>
    <w:p>
      <w:r>
        <w:t>Le Tribunal de céans a sollicité des parties le nom de leur institution de prévoyance, puis a interpellé les institutions défenderesses en les priant de lui communiquer les montants des avoirs LPP des parties acquis durant le mariage, soit entre le 19 mai 1995 et le 22 novembre 2005.</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