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A/4190/2016 vom 28. November 2017</w:t>
      </w:r>
    </w:p>
    <w:p>
      <w:r>
        <w:t>GE Cour de justice, 2017-11-28, FR</w:t>
      </w:r>
    </w:p>
    <w:p>
      <w:r>
        <w:rPr>
          <w:b/>
        </w:rPr>
        <w:t xml:space="preserve">Quelle: </w:t>
      </w:r>
      <w:r>
        <w:t>https://mcp.opencaselaw.ch/entscheid/ge_gerichte_A_4190_2016</w:t>
      </w:r>
    </w:p>
    <w:p>
      <w:r>
        <w:t>FR: GE_GERICHTE A/4190/2016 du 28 novembre 2017</w:t>
      </w:r>
    </w:p>
    <w:p>
      <w:r>
        <w:t>IT: GE_GERICHTE A/4190/2016 del 28 novembre 2017</w:t>
      </w:r>
    </w:p>
    <w:p>
      <w:pPr>
        <w:pStyle w:val="Heading2"/>
      </w:pPr>
      <w:r>
        <w:t>Erwägungen</w:t>
      </w:r>
    </w:p>
    <w:p>
      <w:r>
        <w:rPr>
          <w:b/>
        </w:rPr>
        <w:t>E. 1</w:t>
      </w:r>
    </w:p>
    <w:p>
      <w:r>
        <w:t>ère section dans la cause Monsieur A______ contre OFFICE CANTONAL DE L'INSPECTION ET DES RELATIONS DU TRAVAIL Recours contre le jugement du Tribunal administratif de première instance du 16 janvier 2017 ( JTAPI/49/2017 ) EN FAIT 1) Par jugement du 16 janvier 2017, le Tribunal administratif de première instance (ci-après : TAPI) a constaté que le recours interjeté le 6 décembre 2016 par Monsieur A______ contre une décision de l’office cantonal de l’inspection et des relations du travail (ci-après : OCIRT) du 9 novembre 2016 était devenu sans objet. Suite à une diminution du travail, l’entreprise qui désirait obtenir une autorisation de séjour à l’année, avec activité lucrative à son intention, n’était plus en mesure de l’engager. ![endif]&gt;![if&gt; 2) Par courrier du 18 janvier 2017, adressé au TAPI, intitulé « recours », M. A______ a indiqué :![endif]&gt;![if&gt; « En réponse à votre Excellence du 16 Janvier, 2017, concernant le cas de M. A______ , je viens d’exprimer l’intérêt de cette ressource. Annexe d’un nouveau contrat de travail. » À ce pli était annexé un contrat de travail de durée indéterminée conclu entre l’intéressé et Monsieur B______, en qualité de parqueteur. Ce contrat était signé, sous la rubrique « employeur » par M. A______ et sous la rubrique « employé » par M. B______. 3) Le TAPI ayant transmis ledit document à la chambre administrative de la Cour de justice (ci-après : la chambre administrative), cette dernière a accordé à M. A______ un délai, échéant au 9 février 2017, pour indiquer si le courrier du 18 janvier 2017 constituait un recours contre le jugement du TAPI, dès lors qu’il appartenait au nouvel employeur de déposer une demande d’autorisation de travail auprès de l’OCIRT, cas échéant, dans le délai de recours, d’indiquer précisément ses conclusions et les motifs qui les fondent.![endif]&gt;![if&gt; En outre, le TAPI a transmis à la chambre administrative son dossier. 4) Ce courrier étant resté sans réponse, M. A______ a été informé que la cause était gardée à juger, par courrier du 3 juillet 2017.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En vertu de l’art. 60 al. 1 let. b LPA, a qualité pour recourir toute personne touchée directement par une décision et qui a un intérêt personnel digne de protection à ce qu’elle soit annulée ou modifiée.![endif]&gt;![if&gt; Le recourant doit avoir un intérêt pratique à l’admission du recours, soit que cette admission soit propre à lui procurer un avantage, de nature économique, matérielle ou idéale (ATF 138 II 162 consid. 2.1.2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ATA/686/2014 du 26 août 2014). b.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et les références citées).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et les références citées). 3) a. En l’espèce, c’est à juste titre que le TAPI a jugé que le recours de M. A______ avait perdu tout objet, l’employeur qui avait sollicité le permis de travail n’étant plus disposé à engager l’intéressé.![endif]&gt;![if&gt; Dans la mesure où le recourant désirait, par le dépôt de son recours, obtenir un permis de travail pour un autre emploi, il appartient à l’employeur concerné de déposer une demande à l’autorité administrative compétente. Le fait de transmettre le contrat signé à la chambre administrative ne constitue pas une telle requête et n’a dès lors pas à être transmis à l’autorité compétente en l’application de l’art. 11 al. 3 LPA. b. De plus, malgré la demande de la chambre administrative, le recourant n’a pas formé de conclusions ni motivé son recours, l’indication du fait qu’il ait trouvé un nouvel employeur ne constituant pas une telle motivation. 4) Au vu de ce qui précède, le recours sera déclaré irrecevable, sans autre instruction (art. 72 LPA).![endif]&gt;![if&gt;</w:t>
      </w:r>
    </w:p>
    <w:p>
      <w:r>
        <w:rPr>
          <w:b/>
        </w:rPr>
        <w:t>E. 5</w:t>
      </w:r>
    </w:p>
    <w:p>
      <w:r>
        <w:t>Vu l’issue du litige, aucun émolument ne sera perçu (art. 87 al. 1 LPA ; art. 12 al. 2 du règlement sur les frais, émoluments et indemnités en procédure administrative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