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A/4189/2018 vom 27. Oktober 2015</w:t>
      </w:r>
    </w:p>
    <w:p>
      <w:r>
        <w:t>GE Cour de justice, 2015-10-27, FR</w:t>
      </w:r>
    </w:p>
    <w:p>
      <w:r>
        <w:rPr>
          <w:b/>
        </w:rPr>
        <w:t xml:space="preserve">Quelle: </w:t>
      </w:r>
      <w:r>
        <w:t>https://mcp.opencaselaw.ch/entscheid/ge_gerichte_A_4189_2018</w:t>
      </w:r>
    </w:p>
    <w:p>
      <w:r>
        <w:t>FR: GE_GERICHTE A/4189/2018 du 27 octobre 2015</w:t>
      </w:r>
    </w:p>
    <w:p>
      <w:r>
        <w:t>IT: GE_GERICHTE A/4189/2018 del 27 ottobre 2015</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(LPP – RS 831.40); art. 142 du Code Civil (CC)]. Sa compétence pour juger du cas d’espèce est ainsi établie.</w:t>
      </w:r>
    </w:p>
    <w:p>
      <w:r>
        <w:rPr>
          <w:b/>
        </w:rPr>
        <w:t>E. 2</w:t>
      </w:r>
    </w:p>
    <w:p>
      <w:r>
        <w:t>Avec une entrée en vigueur au 1 er janvier 2017, les art. 122 ss du Code Civil (CC) concernant le partage des prestations de sortie des ex-époux, ainsi que les art. 280 ss du Code de procédure civile du 19 décembre 2008 (CPC - RS 272) et 22 ss de la loi fédérale sur le libre passage dans la prévoyance professionnelle vieillesse, survivants et invalidité, du 17 décembre 1993 (loi sur le libre passage, LFLP - RS 831.42) ont été modifiés. Toutefois, sur le plan matériel, sont en principe applicables les règles de droit en vigueur au moment où les faits juridiquement déterminants se sont produits (ATF 129 V 1 consid. 1; ATF 127 V 467 consid. 1 et les références). En l'occurrence, le divorce a été prononcé sous l'empire de l'ancien droit. Partant, les dispositions légales s'appliquent dans leur ancienne teneur. Elles seront citées ci-après dans leur teneur antérieure au 1 er janvier 2017.</w:t>
      </w:r>
    </w:p>
    <w:p>
      <w:r>
        <w:rPr>
          <w:b/>
        </w:rPr>
        <w:t>E. 3</w:t>
      </w:r>
    </w:p>
    <w:p>
      <w:r>
        <w:t>L'art. 25a LFLP, entré en vigueur le 1 er janvier 2000, règle la procédure en cas de divorce. Lorsque les conjoints ne sont pas d’accord sur la prestation de sortie à partager (art. 122 et 123 du CC), le juge du lieu du divorce compétent au sens de l'art. 73 al. 1 LPP, soit à Genève la chambre des assurances sociales de la Cour de justice depuis le 1 er janvier 2011, doit, après que l'affaire lui a été transmise (art. 281 al. 3 du CPC), exécuter d'office le partage sur la base de la clé de répartition déterminée par le juge du divorce.</w:t>
      </w:r>
    </w:p>
    <w:p>
      <w:r>
        <w:rPr>
          <w:b/>
        </w:rPr>
        <w:t>E. 4</w:t>
      </w:r>
    </w:p>
    <w:p>
      <w:r>
        <w:t>Selon l'art. 22 al. 1 et 2 LFLP, en cas de divorce, les prestations de sortie acquises durant le mariage sont partagées conformément aux art. 122 et 123 CC et des art. 280 et 281 CPC;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Les paiements en espèces effectués durant le mariage ne sont pas pris en compte (al. 2).</w:t>
      </w:r>
    </w:p>
    <w:p>
      <w:r>
        <w:rPr>
          <w:b/>
        </w:rPr>
        <w:t>E. 5</w:t>
      </w:r>
    </w:p>
    <w:p>
      <w:r>
        <w:t>Le versement anticipé reçu de l'institution de prévoyance et investi dans un bien immobilier pendant le mariage est considéré comme une prestation de libre passage et doit être partagé conformément aux art. 122 ss CC et 22 LFLP (art. 30c al. 6 LPP et art. 331e al. 6 CO; ATF 132 V 332 consid. 3 et les arrêts cités). Pour déterminer le montant de la prestation de sortie à partager au moment du divorce, il y a donc lieu d'ajouter le montant du versement anticipé, qui conserve sa valeur nominale jusqu'au divorce. Toutefois, seuls sont pris en considération les montants qui font l'objet, au moment du divorce, d'une obligation de remboursement au sens de l'art. 30d LPP (ATF 135 V 324 consid. 5.1; ATF 132 V 347 consid. 3.3.; voir aussi ATF 128 V 230 consid. 3b et 3c et les références).</w:t>
      </w:r>
    </w:p>
    <w:p>
      <w:r>
        <w:rPr>
          <w:b/>
        </w:rPr>
        <w:t>E. 6</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w:t>
      </w:r>
    </w:p>
    <w:p>
      <w:r>
        <w:rPr>
          <w:b/>
        </w:rPr>
        <w:t>E. 7</w:t>
      </w:r>
    </w:p>
    <w:p>
      <w:r>
        <w:t>En l’espèce, le juge de première instance a ordonné le partage par moitié des avoirs de prévoyance des demandeurs du 28 octobre 1996 au 31 décembre 2013. Il a fixé le montant dû par la demanderesse au demandeur à CHF 78'099.25. Ce montant correspond effectivement au partage des avoirs des demandeurs accumulés au cours de la période précitée, soit pour la demanderesse un montant à partager de CHF 190'534.60 (CHF 125'003.50 + CHF 65'531.10) et pour le demandeur un montant à partager de CHF 34'336.10. Le montant dû par la demanderesse au demandeur étant finalement de CHF 78'099.25 [(CHF 190'534.60 : 2) – (CHF 34'336.10 : 2)]. Il convient en conséquence d’inviter la Caisse de pensions Chopard à verser ce montant depuis le compte de la demanderesse sur le compte du demandeur auprès de la CIEPP.</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non publié B 36/02 du 18 juillet 2003)</w:t>
      </w:r>
    </w:p>
    <w:p>
      <w:r>
        <w:rPr>
          <w:b/>
        </w:rPr>
        <w:t>E. 9</w:t>
      </w:r>
    </w:p>
    <w:p>
      <w:r>
        <w:t>Aucun émolument ne sera perçu, la procédure étant gratuite (art. 73 al. 2 LPP et 89H al. 1 de la loi sur la procédure administrative du 12 septembre 1985).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