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A/4182/2023 vom 14. Mai 2024</w:t>
      </w:r>
    </w:p>
    <w:p>
      <w:r>
        <w:t>GE Cour de justice, 2024-05-14, FR</w:t>
      </w:r>
    </w:p>
    <w:p>
      <w:r>
        <w:rPr>
          <w:b/>
        </w:rPr>
        <w:t xml:space="preserve">Quelle: </w:t>
      </w:r>
      <w:r>
        <w:t>https://mcp.opencaselaw.ch/entscheid/ge_gerichte_A_4182_2023</w:t>
      </w:r>
    </w:p>
    <w:p>
      <w:r>
        <w:t>FR: GE_GERICHTE A/4182/2023 du 14 mai 2024</w:t>
      </w:r>
    </w:p>
    <w:p>
      <w:r>
        <w:t>IT: GE_GERICHTE A/4182/2023 del 14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premier grief, la recourante reproche à l’autorité intimée de ne pas avoir appliqué correctement la loi Covid-19.</w:t>
      </w:r>
    </w:p>
    <w:p>
      <w:r>
        <w:rPr>
          <w:b/>
        </w:rPr>
        <w:t>E. 2.1</w:t>
      </w:r>
    </w:p>
    <w:p>
      <w:r>
        <w:t>Le 25 septembre 2020, l’Assemblée fédérale a adopté la loi Covid-19, qui prévoit, à son art. 12, des mesures destinées aux entreprises. Selon ladite disposition, la Confédération peut, à la demande d’un ou de plusieurs cantons, soutenir les mesures de ces cantons pour les cas de rigueur destinées aux entreprises individuelles, aux sociétés de personnes ou aux personnes morales ayant leur siège en Suisse qui ont été créées ou ont commencé leur activité commerciale avant le 1 er octobre 2020, avaient leur siège dans le canton à cette date,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La Confédération verse aux cantons une participation financière à hauteur de 100% des mesures pour les cas de rigueur qu’ils destinent aux entreprises réalisant un CA annuel de plus de CHF 5'000'000.- (al. 1 quater let. b), le Conseil fédéral édictant, les concernant, des dispositions particulières (al. 1 quinquies ).</w:t>
      </w:r>
    </w:p>
    <w:p>
      <w:r>
        <w:rPr>
          <w:b/>
        </w:rPr>
        <w:t>E. 2.2</w:t>
      </w:r>
    </w:p>
    <w:p>
      <w:r>
        <w:t>L’art. 12 al. 1 septies loi Covid-19, applicable jusqu’au 31 décembre 2021, prévoyait que les entreprises ayant un chiffre d’affaires de plus de CHF 5'000'000.- qui, durant l’année où une contribution non remboursable leur était octroyée, réalisaient un bénéfice annuel imposable au sens des art. 58 à 67 de la loi fédérale du 14 décembre 1990 sur l’impôt fédéral direct (LIFD - RS 642.11), le transféraient au canton compétent, ce toutefois au maximum à concurrence du montant de la contribution perçue. Le canton transférait 95 % des fonds reçus à la Confédération. Le Conseil fédéral réglait les modalités, notamment la prise en compte des pertes de l’année précédente et le mode d’inscription comptable. Cet alinéa a été en vigueur du 20 mars 2021 au 31 décembre 2022. Selon le message du Conseil fédéral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(FF 2021 285), la Confédération assumait les coûts des mesures cantonales en faveur des grandes entreprises réalisant un CA de plus de CHF 5'000'000.-, dans le but de compenser leurs coûts non couverts, la responsabilité de la procédure revenant au canton dans lequel l’entreprise avait son siège le 1 er octobre 2020. Comme la Confédération finançait intégralement lesdites contributions, elle pouvait imposer aux cantons des règlements concernant les conditions d’éligibilité et le calcul des aides correspondantes aux fins d’éviter toute inégalité de traitement entre les entreprises (p. 20). Dans l’esprit du législateur fédéral, le principe de la participation au bénéfice visait à éviter les situations de surindemnisation (Message, FF 2021 285, p. 22).</w:t>
      </w:r>
    </w:p>
    <w:p>
      <w:r>
        <w:rPr>
          <w:b/>
        </w:rPr>
        <w:t>E. 2.3</w:t>
      </w:r>
    </w:p>
    <w:p>
      <w:r>
        <w:t>Le 25 novembre 2020, le Conseil fédéral a adopté l’ordonnance Covid-19, modifiée à plusieurs reprises, qui prévoyait que la Confédération participait aux coûts et aux pertes que les mesures pour les cas de rigueur destinées aux entreprises occasionnaient à un canton (art. 1 al. 1). L’art. 8 e ordonnance Covid-19, avait le titre « base déterminante pour la participation conditionnelle aux bénéfices pour les entreprises dont le chiffre d’affaires annuel est supérieur à 5 millions de francs ». Il prévoyait que « le bénéfice annuel imposable de 2021 avant compensation des pertes au sens des art. 58 à 67 de la loi fédérale du 14 décembre 1990 sur l’impôt fédéral direct est déterminant pour calculer la participation conditionnelle aux bénéfices visée à l’art. 12 al. 1 septies de la loi Covid-19 du 25 septembre 2020. Seule une perte subie au cours de l’exercice 2020 déterminante sur le plan fiscal peut être déduite du bénéfice annuel imposable ». Cet article a été en vigueur du 1 er avril 2021 au 31 décembre 2021.</w:t>
      </w:r>
    </w:p>
    <w:p>
      <w:r>
        <w:rPr>
          <w:b/>
        </w:rPr>
        <w:t>E. 2.4</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148 V 144 consid. 3.1.3).</w:t>
      </w:r>
    </w:p>
    <w:p>
      <w:r>
        <w:rPr>
          <w:b/>
        </w:rPr>
        <w:t>E. 2.5</w:t>
      </w:r>
    </w:p>
    <w:p>
      <w:r>
        <w:t>Selon les Commentaires de l’ordonnance Covid-19 cas de rigueur, état au 17 décembre 2021 (ci-après : le commentaire), l’art. 8 e prévoit que la participation aux bénéfices porte sur le bénéfice annuel imposable de 2021 avant compensation des pertes. Conformément au droit fiscal, si l’exercice ne correspond pas à l’année civile, le bénéfice annuel déterminant est celui de l’exercice qui se termine durant l’année civile 2021. Si dans ce cas et dans le cas de paiements effectués à compter de 2022, des contributions ne sont allouées et/ou versées qu’après le bouclement de l’exercice déterminant, elles doivent être ajoutées au résultat de l’exercice 2021 aux fins du calcul de la participation aux bénéfices.</w:t>
      </w:r>
    </w:p>
    <w:p>
      <w:r>
        <w:rPr>
          <w:b/>
        </w:rPr>
        <w:t>E. 3</w:t>
      </w:r>
    </w:p>
    <w:p>
      <w:r>
        <w:t>Dans un premier grief, la recourante reproche au DEE d’avoir tenu compte du bénéfice de l’année 2021 alors que l’aide n’avait été versée qu’en 2022.</w:t>
      </w:r>
    </w:p>
    <w:p>
      <w:r>
        <w:rPr>
          <w:b/>
        </w:rPr>
        <w:t>E. 3.1</w:t>
      </w:r>
    </w:p>
    <w:p>
      <w:r>
        <w:t>Les entreprises qui, en raison des mesures prises par la Confédération ou les cantons pour endiguer l’épidémie de Covid-19, doivent cesser leur activité pour un total d’au moins 40 jours entre le 1 er novembre 2020 et le 30 juin 2021 ne sont pas tenues de remplir les conditions d’octroi visées à l’art. 5 al. 1 et 1 bis , si leur chiffre d’affaires annuel moyen réalisé en 2018 et 2019 est supérieur à CHF 5'000'000.- (art. 5b loi Covid-19).</w:t>
      </w:r>
    </w:p>
    <w:p>
      <w:r>
        <w:rPr>
          <w:b/>
        </w:rPr>
        <w:t>E. 3.2</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ATA/918/2018 du 11 septembre 2018 ; Thierry TANQUEREL, Manuel de droit administratif, 2018, n. 403 ss).</w:t>
      </w:r>
    </w:p>
    <w:p>
      <w:r>
        <w:rPr>
          <w:b/>
        </w:rPr>
        <w:t>E. 3.3</w:t>
      </w:r>
    </w:p>
    <w:p>
      <w:r>
        <w:t>En l’espèce, la demande déposée le 18 août 2021 concernait la fermeture pendant 42 jours au début de l’année 2021. Bien que perçue en 2022, l’aide allouée concernait en conséquence des faits qui s’étaient déroulés en 2021. La législation applicable restant en principe celle qui était en vigueur lors de la réalisation de l'état de fait qui doit être apprécié juridiquement ou qui a des conséquences juridiques, c’est à bon droit que l’autorité intimée a appliqué les dispositions légales en vigueur pour l’année 2021. Le fait que lesdites dispositions ne soient plus en vigueur au moment de la décision est sans pertinence, d’une part compte tenu des principes généraux précités. D’autre part, le commentaire confirme que même si l’art. 12 de la loi Covid-19 cesse d’être en vigueur à la fin de 2022, l’exécution des dispositions reste régie, après 2022, par le droit qui fonde l’allocation des aides. Ce principe s’applique en particulier à la participation aux bénéfices (commentaire, état au 11 mars 2022, ad art. 23). Les montants énoncés dans la décision ne sont pas contestés. La recourante considère toutefois que le DEE ne peut solliciter que la restitution de son bénéfice, non du montant alloué au titre d’aide. Elle ne peut être suivie. La société ayant fait un bénéfice « ajusté » de CHF 94'837.- en 2021, elle conserve son bénéfice mais est tenue de rembourser l’aide, excédentaire, de CHF 218'136.- sous peine de bénéficier d’une surindemnisation.</w:t>
      </w:r>
    </w:p>
    <w:p>
      <w:r>
        <w:rPr>
          <w:b/>
        </w:rPr>
        <w:t>E. 4</w:t>
      </w:r>
    </w:p>
    <w:p>
      <w:r>
        <w:t>Dans un deuxième grief, la recourante invoque une violation du principe de l’égalité de traitement.</w:t>
      </w:r>
    </w:p>
    <w:p>
      <w:r>
        <w:rPr>
          <w:b/>
        </w:rPr>
        <w:t>E. 4.1</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w:t>
      </w:r>
    </w:p>
    <w:p>
      <w:r>
        <w:rPr>
          <w:b/>
        </w:rPr>
        <w:t>E. 4.2</w:t>
      </w:r>
    </w:p>
    <w:p>
      <w:r>
        <w:t>La recourante soutient qu’elle serait traitée différemment d’une entreprise qui aurait perçu l’aide en 2021. Tel n’est toutefois pas le cas, puisque dans les deux situations, le DEE ajoute au résultat de l’année 2021, l’aide allouée pour celle-ci, indépendamment de l’année au cours de laquelle la décision y relative a été prise. Le résultat serait donc identique si la société avait perçu le montant de CHF 218'136.- en 2021. Le grief n’est pas fondé.</w:t>
      </w:r>
    </w:p>
    <w:p>
      <w:r>
        <w:rPr>
          <w:b/>
        </w:rPr>
        <w:t>E. 5</w:t>
      </w:r>
    </w:p>
    <w:p>
      <w:r>
        <w:t>La recourante invoque une violation du principe de l’interdiction de l’arbitraire. Elle avait déployé de nombreux efforts pour réaliser un bénéfice pour l’exercice 2021, alors que d’autres entreprises s’étaient complu dans la réalisation de pertes, le système prévoyant une obligation de remboursement les y encourageant. Ce but, non voulu par le législateur, était arbitraire.</w:t>
      </w:r>
    </w:p>
    <w:p>
      <w:r>
        <w:rPr>
          <w:b/>
        </w:rPr>
        <w:t>E. 5.1</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De plus, il ne suffit pas que les motifs de la décision attaquée soient insoutenables, encore faut-il que cette dernière soit arbitraire dans son résultat (ATF 145 IV 154 consid. 1.1 ; 144 I 170 consid. 7.3).</w:t>
      </w:r>
    </w:p>
    <w:p>
      <w:r>
        <w:rPr>
          <w:b/>
        </w:rPr>
        <w:t>E. 5.2</w:t>
      </w:r>
    </w:p>
    <w:p>
      <w:r>
        <w:t>En l’espèce, le but consistant à éviter la surindemnisation n’est pas insoutenable et ne heurte pas de manière choquante le sentiment de la justice et de l’équité. Comme précité, l’arbitraire ne résulte pas du seul fait qu’une autre solution pourrait entrer en considération ou même qu’elle serait préférable.</w:t>
      </w:r>
    </w:p>
    <w:p>
      <w:r>
        <w:rPr>
          <w:b/>
        </w:rPr>
        <w:t>E. 6</w:t>
      </w:r>
    </w:p>
    <w:p>
      <w:r>
        <w:t>Vu l’issue du litige, un émolument de CHF 500.- sera mis à la charge de la recourante, qui ne peut se voir allouer d’indemnité de procédure. Il n’y a pas lieu à l’allocation d’une indemnité de procédure en faveur de l’État, celui-ci disposant de son propre service juridique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