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A/4182/2018 vom 18. April 2019</w:t>
      </w:r>
    </w:p>
    <w:p>
      <w:r>
        <w:t>GE Cour de justice, 2019-04-18, FR</w:t>
      </w:r>
    </w:p>
    <w:p>
      <w:r>
        <w:rPr>
          <w:b/>
        </w:rPr>
        <w:t xml:space="preserve">Quelle: </w:t>
      </w:r>
      <w:r>
        <w:t>https://mcp.opencaselaw.ch/entscheid/ge_gerichte_A_4182_2018</w:t>
      </w:r>
    </w:p>
    <w:p>
      <w:r>
        <w:t>FR: GE_GERICHTE A/4182/2018 du 18 avril 2019</w:t>
      </w:r>
    </w:p>
    <w:p>
      <w:r>
        <w:t>IT: GE_GERICHTE A/4182/2018 del 18 aprile 2019</w:t>
      </w:r>
    </w:p>
    <w:p>
      <w:pPr>
        <w:pStyle w:val="Heading2"/>
      </w:pPr>
      <w:r>
        <w:t>Erwägungen</w:t>
      </w:r>
    </w:p>
    <w:p>
      <w:r>
        <w:rPr>
          <w:b/>
        </w:rPr>
        <w:t>E. 5</w:t>
      </w:r>
    </w:p>
    <w:p>
      <w:r>
        <w:t>ème Chambre En la cause Madame A______, domiciliée à VERSOIX recourante contre OFFICE DE L'ASSURANCE-INVALIDITÉ DU CANTON DE GENÈVE, sis rue des Gares 12, GENÈVE intimé EN FAIT 1.        Madame A______, née le ______ 1967, naturalisée suisse en 2009, a exercé l’activité de femme de ménage à temps partiel tout en s’occupant de son ménage et de ses quatre enfants.![endif]&gt;![if&gt; 2.        Le 12 novembre 2007, l’assurée a déposé une première demande de prestations auprès de l’Office cantonal de l’assurance-invalidité (ci-après : l’OAI ou l’intimé), en raison de migraines et d’une atteinte au dos.![endif]&gt;![if&gt; 3.        Dans un rapport du 11 février 2008, le docteur B______, généraliste et médecin traitant de l’assurée, a posé les diagnostics de cervico-brachialgies périodiques, de lombalgies quasi-permanentes (protrusion discale L4-L5), arthrose interapophysaire L4-L5, séquelles d’une maladie de Scheuermann) et de céphalées mixtes, migraineuses et tensionnelles, diagnostics existant depuis 1997-1998 et ayant des répercussions sur la capacité de travail. Elle souffrait également de gonalgies périodiques, d’hypotension, de reflux gastro-œsophagien et d’une gastrite chronique. Les périodes d’incapacité de travail étaient les suivantes : 100 % du</w:t>
      </w:r>
    </w:p>
    <w:p>
      <w:r>
        <w:rPr>
          <w:b/>
        </w:rPr>
        <w:t>E. 10</w:t>
      </w:r>
    </w:p>
    <w:p>
      <w:r>
        <w:t>janvier 2018 du Dr B______. Dans la mesure où ce dernier y énumère des diagnostics qu’il mentionnait déjà dans son rapport à l’OAI du 11 février 2008, dont l’absence de caractère incapacitant (et de limitations fonctionnelles), constaté par expertise du 21 décembre 2012, avait conduit la chambre de céans, par arrêt du 15 janvier 2014, à retenir une capacité de travail pleine et entière dans toute activité lucrative, on peut se demander si le SMR n’a pas procédé, en définitive, à une appréciation différente d’un même état de fait, situation qui ferait obstacle à une révision, faute d’inexactitude ultérieure sur les faits (cf. ci-dessus : consid. 6c). Tel n’est cependant pas le cas, compte tenu de la dystrophie maculaire de l’œil droit, apparue au début de l’année 2016 environ. Dans un arrêt du 21 janvier 2015, le Tribunal fédéral a en effet considéré que lorsque le tableau clinique se modifie en raison de l’apparition d’un diagnostic supplémentaire depuis la dernière décision entrée en force, on est en présence d’une modification de l’état de fait propre à conduire à une appréciation différente du droit à la rente (ATF 141 V 9 consid. 5.3). En conséquence, l’intimé était fondé, dans le cas d’espèce, à procéder à nouvelle évaluation de l'état de santé et de la capacité de travail de la recourante. Étant donné que la dystrophie maculaire apparue d’un côté en 2016 se traduit uniquement par une baisse de l’acuité visuelle de l’œil droit et qu’il ne ressort pas du rapport du 10 janvier 2018 du Dr B______ que les autres diagnostics existant depuis huit ans (gonalgies gauches), voire au moins vingt ans (cervicalgies, lombalgies et céphalées), auraient connu une aggravation importante, l’avis du SMR du 17 juillet 2018 apparaît convaincant en tant qu’il retient l’existence d’une incapacité de travail totale, depuis au moins vingt ans, dans toutes les activités ne respectant pas les limitations d’épargne du dos et du cou et une capacité de travail entière, depuis toujours, dans les activités respectant strictement les limitations fonctionnelles ophtalmologiques (mauvaise vision d’un œil), d’épargne du dos, du cou et du genou gauche, essentiellement sédentaires. Dans son rapport du 10 janvier 2018, le Dr B______ indique pour sa part que la capacité de travail de la recourante serait nulle depuis le 26 août 2016 dans sa dernière activité, précisant qu’elle ne pourrait ni soulever ni déplacer ni porter des objets de plus de 5 kg. Sans se prononcer sur l’exigibilité de l’exercice d’une activité adaptée au handicap, ce médecin précise que les capacités de concentration, compréhension et d’adaptation de la recourante ne sont pas limitées mais que sa résistance est limitée en raison de la fatigabilité, de l’hypotension, des gonalgies et des lombalgies. Dans ces circonstances, ni le rapport du le rapport du 21 novembre 2017 du Dr H______ – qui constate une acuité visuelle de l’œil droit diminuée à 60 % –, ni celui du 10 janvier 2018 du Dr B______ ne laissent subsister des doutes, même faibles, quant à la fiabilité ou à la pertinence des constatations effectuées par le SMR. Aussi la chambre de céans considérera-t-elle qu’il est établi, au degré de la vraisemblance prépondérante, que la recourante présente une capacité de travail entière dans une activité adaptée aux limitations fonctionnelles retenues le 17 juillet 2018 par le SMR. 12.    L’intimé a retenu que la recourante aurait exercé aujourd’hui une activité lucrative au taux de 17,5 % sans invalidité et se serait consacré à son ménage le reste du temps. Celle-ci ne conteste pas ce statut mixte, de sorte qu’il y a lieu d’établir son degré d’invalidité sur la base d’une activité lucrative de ce pourcentage et des travaux habituels dans le ménage au taux de 82,5 %.![endif]&gt;![if&gt; 13.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 bis RAI, ainsi que les art. 16 LPGA et 28a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14.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15.    a. Lorsqu'il y a lieu d'appliquer la méthode mixte d'évaluation, l'invalidité des assurés pour la part qu'ils consacrent à leur activité lucrative doit être évaluée selon la méthode ordinaire de comparaison des revenus (art. 28 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5a).![endif]&gt;![if&gt; b. Le revenu sans invalidité se détermine en règle générale d'après le dernier salaire que l'assuré a obtenu avant l'atteinte à la santé, en tenant compte de l'évolution des salaires jusqu'au moment du prononcé de la décision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d. Suite à l’arrêt CourEDH n° 7186/09 Di Trizio c. Suisse du 2 février 2016, le Conseil fédéral a modifié l'art. 27 bis al. 2 à 4 RAI, entré en vigueur le 1 er janvier 2018. Cet article, applicable au cas d'espèce, la décision litigieuse étant postérieure à son entrée en vigueur (cf. ci-dessus : consid. 4), dispose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16.    En l’espèce, le rapport du SMR du 17 juillet 2018 ne précise pas la diminution de rendement subie par la recourante dans une activité adaptée, ni ne détermine le genre d’activité concrètement exigible de sa part puisqu’il décrit uniquement ses limitations fonctionnelles. Il est vrai que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 Jürg MAESCHI, Kommentar zum Bundesgesetz über die Militärversicherung [MVG] vom 19. Juni 1992, n°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des assurances I 636/06 du 22 septembre 2006 consid. 3.2).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(ci-après : OFS).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 sous réserve d'une diminution du rendement de l'assuré dans les activités raisonnablement exigibles de sa part (arrêt du Tribunal fédéral I 778/05 du 11 janvier 2007 consid. 6.2).![endif]&gt;![if&gt; 17.    a. En l’occurrence, le SMR considère que la recourante pouvait exercer à plein temps toute activité respectant strictement les limitations fonctionnelles ophtalmologiques (mauvaise vision d’un œil), d’épargne du dos, du cou et du genou gauche, et qui fût essentiellement sédentaire (pas de port de charges de plus de 5 kg, ni de station debout prolongée, ni de montées et descentes répétées d’escaliers, ni d’activité penchée en avant ou en porte-à-faux, ni de rotation répétée du tronc et du cou, ni de marche en terrain instable ou accidenté, ni de changement de position assis-debout). Dès lors que le marché du travail offre un éventail suffisamment large d'activités légères (cf. notamment l’arrêt du Tribunal fédéral 9C_279/2008 du 16 décembre 2008 consid. 4), dont on doit convenir qu'un nombre significatif sont adaptées aux limitations de la recourante et accessibles sans aucune formation particulière, l’intimé pouvait évaluer la capacité résiduelle de gain de la recourante en se référant au marché équilibré du travail et aux données salariales publiées par l’OFS. ![endif]&gt;![if&gt; b. Dans son calcul de la perte de gain du 24 septembre 2018, l’intimé a pris en considération un salaire avec invalidité en 2017 de CHF 9'575.83 pour un taux d’activité de 17.5 %, sur la base de l’enquête suisse des salaires (ESS) 2014, après l'avoir adapté à la durée normale hebdomadaire de travail et l’avoir indexé à l’évolution des salaires entre 2014 et 2017. Cela, fait, l’intimé a comparé ce revenu avec celui que la recourante aurait, au degré de la vraisemblance prépondérante, réellement pu obtenir en 2017 si elle avait continué à exercer son activité de femme de ménage au-delà de 2005. Pour ce faire, il s’est référé aux revenus réalisés par la recourante dans son dernier emploi de CHF 11'234.-, après adaptation à l’évolution des salaires nominaux entre 2005 et 2017. Toutefois, dès lors que la recourante était sans emploi au moment de la survenance de sa première période d’incapacité de travail attestée en 2006 (cf. rapport du 11 février 2008 du Dr B______), il y aurait lieu de se fonder sur les salaires statistiques également pour établir le revenu de valide, lesquels sont inférieurs au montant de CHF 11'234.-. Cette question peut cependant rester ouverte, au vu de ce qui suit. En admettant avec l’intimé un salaire sans invalidité de CHF 11'234.- en 2017, il y a lieu en principe d’effectuer un abattement de 10 % des salaires statistiques pour tenir compte des limitations fonctionnelles et de l’âge de la recourante. La perte de gain dans la sphère professionnelle s’établit ainsi à 23,28 % ([11'234 – 90 % de 9'575.83] x 100 : 11'234) respectivement, au taux de 17,5 %, à 4 %. Le point de savoir si une déduction plus importante serait mieux appropriée dans le cas particulier peut rester indécis, dès lors que même une déduction de 25 % ne conduirait pas à un taux d’invalidité ouvrant droit à une rente, comme exposé ci-après. c. Concernant les travaux habituels, la recourante soutient que la perte économique serait supérieure aux 18 % retenus dans le rapport d’enquête ménagère du 24 septembre 2018. Ce point de vue, au demeurant non motivé, ne saurait être suivi dès lors que le rapport en question a été élaboré par une personne qualifiée ayant connaissance de la situation locale et spatiale, ainsi que des empêchements et des handicaps résultant des diagnostics médicaux. La prise en considération d’une exigibilité de 25 % à la charge des personnes partageant le ménage de la recourante (mari et fille) ne prête pas non plus le flanc à la critique. Enfin, ce rapport tient compte des indications de la recourante, apparaît plausible, motivé et rédigé de manière suffisamment détaillée par rapport aux différentes limitations, de sorte qu’il convient de lui reconnaître pleine valeur probante. Par conséquent, la chambre de céans s’en tiendra, pour les travaux habituels, à l’empêchement pondéré avec exigibilité de 18 % déterminé par l’intimé respectivement, pour un taux d’occupation de 82,5 % dans le ménage, de 14,85 %. d. Le degré d’invalidité total s’établit ainsi à 18.85 % (4 % + 14.85 %). Ce taux n’ouvre pas le droit à une rente. Il convient de relever à cet égard que même en reconnaissant à la recourante une incapacité de travail totale dans toute activité lucrative, son degré d’invalidité total serait toujours inférieur à 40 %. 18.    Selon l’art. 17 al. 1 LAI, l’assuré a droit au reclassement dans une nouvelle profession si son invalidité rend cette mesure nécessaire et que sa capacité de gain peut ainsi, selon toute vraisemblance, être maintenue ou améliorée.![endif]&gt;![if&gt;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19.    En l’espèce, la recourante ne conclut pas expressément à l’octroi de mesures professionnelles, même si elle conteste le refus de celles-ci, sans préciser pour quelle raison. En tout état de cause, elle ne semble pas considérer qu’elle dispose encore d’une capacité de travail dans une activité légère sédentaire, même au taux d’occupation très restreint de 17,5 %. En effet, déjà lors de l’expertise neurologique en décembre 2012 par le Dr C______, elle a déclaré qu’elle ne se sentait pas capable de travailler et qu’elle attendait une rente d’invalidité. Il n’est pas non plus établi qu’elle ait essayé de retrouver un emploi dans une activité adaptée depuis son incapacité de travail définitive dans son activité habituelle en janvier 2007, avant même la survenance de ses problèmes de vue. Cela étant, une mesure de réadaptation professionnelle serait selon toute vraisemblance vouée à l’échec, en l’absence d’une motivation suffisante de la recourante pour reprendre une activité lucrative. ![endif]&gt;![if&gt; 20.    Au vu de ce qui précède, le recours sera rejeté.![endif]&gt;![if&gt; 21.    La procédure n’est pas gratuite (art. 69 al. 1 bis LAI). Toutefois, dès lors que la recourante et sa famille sont prises en charge par l’Hospice général, il sera renoncé à percevoir un émolument.![endif]&gt;![if&gt;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