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A/4170/2022 vom 30. Juni 2023</w:t>
      </w:r>
    </w:p>
    <w:p>
      <w:r>
        <w:t>GE Cour de justice, 2023-06-30, FR</w:t>
      </w:r>
    </w:p>
    <w:p>
      <w:r>
        <w:rPr>
          <w:b/>
        </w:rPr>
        <w:t xml:space="preserve">Quelle: </w:t>
      </w:r>
      <w:r>
        <w:t>https://mcp.opencaselaw.ch/entscheid/ge_gerichte_A_4170_2022</w:t>
      </w:r>
    </w:p>
    <w:p>
      <w:r>
        <w:t>FR: GE_GERICHTE A/4170/2022 du 30 juin 2023</w:t>
      </w:r>
    </w:p>
    <w:p>
      <w:r>
        <w:t>IT: GE_GERICHTE A/4170/2022 del 30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Dans la mesure où le recours a été interjeté postérieurement au 1 er janvier 2021, il est soumis au nouveau droit (cf. art. 82 a LPGA a contrario ).</w:t>
      </w:r>
    </w:p>
    <w:p>
      <w:r>
        <w:rPr>
          <w:b/>
        </w:rPr>
        <w:t>E. 3</w:t>
      </w:r>
    </w:p>
    <w:p>
      <w:r>
        <w:t>Dans le cadre de la réforme de la LPC, entrée en vigueur le 1 er janvier 2021, de nombreuses dispositions ont été modifiées (FF 2016 7249 ; RO 2020 585). Dans la mesure où le recours porte sur le droit aux prestations complémentaires à partir du mois d’avril 2022, soit une période postérieure au 1 er janvier 2021, le présent litige est soumis au nouveau droit. Les dispositions légales seront donc citées ci-après dans leur teneur en vigueur dès le 1 er janvier 2021.</w:t>
      </w:r>
    </w:p>
    <w:p>
      <w:r>
        <w:rPr>
          <w:b/>
        </w:rPr>
        <w:t>E. 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 Cependant, en raison de la problématique de la capacité de discernement de l’intéressé, ce point sera examiné infra .</w:t>
      </w:r>
    </w:p>
    <w:p>
      <w:r>
        <w:rPr>
          <w:b/>
        </w:rPr>
        <w:t>E. 5</w:t>
      </w:r>
    </w:p>
    <w:p>
      <w:r>
        <w:t>Le litige porte sur le montant et le calcul des prestations complémentaires, en particulier sur l'intégration dans le calcul de montants correspondant à des biens dessaisis.</w:t>
      </w:r>
    </w:p>
    <w:p>
      <w:r>
        <w:rPr>
          <w:b/>
        </w:rPr>
        <w:t>E. 6</w:t>
      </w:r>
    </w:p>
    <w:p>
      <w:r>
        <w:t>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Ont droit aux prestations complémentaires cantonales les personnes dont le revenu annuel déterminant n’atteint pas le revenu minimum cantonal d’aide sociale applicable (art. 4 LPCC).</w:t>
      </w:r>
    </w:p>
    <w:p>
      <w:r>
        <w:rPr>
          <w:b/>
        </w:rPr>
        <w:t>E. 7</w:t>
      </w:r>
    </w:p>
    <w:p>
      <w:r>
        <w:t>Selon l’art. 11 a al. 2 LPC, les autres revenus, parts de fortune et droits légaux ou contractuels auxquels l’ayant droit a renoncé sans obligation légale et sans contre-prestation adéquate sont pris en compte dans les revenus déterminants comme s’il n’y avait pas renoncé. Selon l’art. 17 b let. a de l'ordonnance sur les prestations complémentaires à l’assurance-vieillesse, survivants et invalidité du 15 janvier 1971 (OPC - AVS/AI - RS 831.301), entré en vigueur le 1 er janvier 2021,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 c OPC-AVS/AI). Selon l’art. 17 e OPC-AVS/AI, le montant de la fortune qui a fait l’objet d’un dessaisissement au sens de l’art. 11 a al. 2 et 3 LPC et qui doit être pris en compte dans le calcul de la prestation complémentaire est réduit chaque année de 10 000 francs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l'intéressé a renoncé à des parts de fortune et le premier amortissement de fortune (Ralph JÖHL, Die Ergänzungsleistung und ihre Berechnung, in Soziale Sicherheit , SBVR vol. XIV, p. 1816 n. 247).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(office fédéral des assurances sociales, Directives concernant les prestations complémentaires à l'AVS et à l'AI [ci-après : DPC], état au 1 er janvier 2022, ch. 3532.04 ; ATF 120 V 182 consid. 4b ; arrêt du Tribunal fédéral 9C_67/2011 du 29 août 2011 consid. 5.1). L'art. 11 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aLPC, a toutefois été laissée ouverte par le Tribunal fédéral (ATF 131 V 329 consid. 4.2 à 4.4).</w:t>
      </w:r>
    </w:p>
    <w:p>
      <w:r>
        <w:rPr>
          <w:b/>
        </w:rPr>
        <w:t>E. 8</w:t>
      </w:r>
    </w:p>
    <w:p>
      <w:r>
        <w:t>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après déduction des coûts qui incombent effectivement au bénéficiaire des prestations complémentaires dans l’exercice de l’usufruit ;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 DPC, état au 1 er janvier 2022, ch. 3532.07 et 3532.08 ou DPC, état au 1 er janvier 2020, ch. 3483.04 et 3483.05).</w:t>
      </w:r>
    </w:p>
    <w:p>
      <w:r>
        <w:rPr>
          <w:b/>
        </w:rPr>
        <w:t>E. 9</w:t>
      </w:r>
    </w:p>
    <w:p>
      <w:r>
        <w:t>Le dessaisissement suppose que l’assuré ait la capacité de discernement s’agissant de la diminution de sa fortune (arrêt du Tribunal fédéral 9C_934/2009 du 28 avril 2010 consid. 5.1). Selon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WERRO/Irène SCHMIDLIN in Commentaire romand, Code civil I, 2010, n. 39 ad art. 16). La capacité de discernement est la règle ;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11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des assurances P 59/02 du 28 août 2003 consid. 3.3 et les références).</w:t>
      </w:r>
    </w:p>
    <w:p>
      <w:r>
        <w:rPr>
          <w:b/>
        </w:rPr>
        <w:t>E. 12</w:t>
      </w:r>
    </w:p>
    <w:p>
      <w:r>
        <w:t>En l’espèce, les curateurs du recourant, désignés par l’ordonnance du TPAE du 11 janvier 2023, maintiennent le recours de leur protégé au motif que ce dernier était incapable de discernement, au moment où il s’est dessaisi d’un montant de CHF 185'099.-, dans le courant de l’année 2018, après avoir été victime d’une arnaque Internet. Selon les curateurs, l’incapacité de discernement est établie par le certificat médical délivré par le Dr D______, en date du 4 mars 2019.</w:t>
      </w:r>
    </w:p>
    <w:p>
      <w:r>
        <w:rPr>
          <w:b/>
        </w:rPr>
        <w:t>E. 12.1</w:t>
      </w:r>
    </w:p>
    <w:p>
      <w:r>
        <w:t>À titre liminaire, il convient d’examiner la question de la capacité de discernement de l’intéressé au regard de ses démarches administratives et judiciaires, soit sa capacité à déposer la demande de prestations complémentaires, puis à interjeter recours contre la décision de refus de prestations complémentaires. À teneur de l’art. 19c al. 2 CC, les personnes incapables de discernement sont représentées par leur représentant légal, sauf pour les droits qui ne souffrent aucune représentation en raison de leur lien étroit avec la personnalité. Il est admis qu’une demande de prestations ou un recours ne font pas partie des droits strictement personnels absolus pour lesquels toute représentation est exclue. Partant, on peut admettre que les curateurs ont ratifié, par acte concluant, la demande de prestations complémentaires ainsi que le recours contre la décision de refus, ce qui ressort implicitement de leurs courriers de réplique du 3 et du 31 mai 2023.</w:t>
      </w:r>
    </w:p>
    <w:p>
      <w:r>
        <w:rPr>
          <w:b/>
        </w:rPr>
        <w:t>E. 12.2</w:t>
      </w:r>
    </w:p>
    <w:p>
      <w:r>
        <w:t>Sur le fond, il est admis que le dessaisissement de fortune, à hauteur de CHF 185'099.-, a été fait « sans obligation juridique », respectivement « sans avoir reçu en échange une contre-prestation équivalente ». Les deux conditions précitées ne sont pas cumulatives, mais alternatives (ATF 131 V 329 consid. 4.4). On relèvera ensuite que le dessaisissement n’a pas été considéré comme étant le fruit d’une infraction pénale par le ministère public genevois, qui a rendu une ordonnance de non-entrée en matière, suite au dépôt de la plainte pénale, en date du 25 mars 2019, étant rappelé que, à teneur de l’art. 310 al. 1 let. a du code de procédure pénale du 5 octobre 2017 (CPP - RS 312.0), le Ministère public rend immédiatement une ordonnance de non-entrée en matière s’il ressort de la dénonciation ou du rapport de police que les éléments constitutifs de l’infraction ou les conditions d’ouverture de l’action pénale ne sont manifestement pas réunis. Par ailleurs, et contrairement à ce qu’allèguent les curateurs, il n’appartient pas au SPC de procéder à une investigation indépendante quant au caractère illicite ou non des conditions dans lesquelles l’intéressé s’est dessaisi du montant de CHF 185'099.- ; l’intimé peut donc se fonder sur l’appréciation du Ministère public. Partant, et en l’absence de tout élément de preuve, hormis les allégations des curateurs du recourant, il n’est pas établi que ce dernier s’est dessaisi de ce montant suite à la commission d’une infraction pénale à son endroit.</w:t>
      </w:r>
    </w:p>
    <w:p>
      <w:r>
        <w:rPr>
          <w:b/>
        </w:rPr>
        <w:t>E. 12.3</w:t>
      </w:r>
    </w:p>
    <w:p>
      <w:r>
        <w:t>Se pose, en revanche, la question de la capacité de discernement de l’intéressé au moment du dessaisissement. Né en 1941, l’intéressé était âgé de 76 ans en 2017, année lors de laquelle il a commencé à se dessaisir de montants par le débit de son compte en faveur du compte bancaire d’un destinataire à Accra, la capitale du Ghana, à teneur du relevé bancaire du compte UBS no CH1______ ouvert au nom de l’intéressé (premier débit, par EUR 450.- en date de valeur du 21 juin 2017). Il ne s’agit pas encore d’un grand âge à partir duquel on peut postuler que, selon l’expérience générale de la vie, l’intéressé ne dispose plus de sa capacité de discernement. Selon le site Internet de prévention suisse de la criminalité, https://www.skppsc.ch/fr/questions-frequentes/focus/escroquerie-escroquerie/#escroquerie-escroquerie, plusieurs types de fraude sont régulièrement commis sur Internet, notamment par des auteurs provenant de certains pays africains ; selon la description du modus operandi , les victimes ne sont pas forcément des personnes très âgées et incapables de discernement, mais bien plutôt des personnes naïves ou isolées sur le plan social. Enfin, à teneur d’une interprétation littérale du texte du certificat médical rédigé par le Dr D______, ce dernier ne certifie pas que l’intéressé est complètement et définitivement incapable de discernement au mois de mars 2019, mais qu’il « n’est plus en pleine possession de sa capacité de discernement, ce qui peut l’amener à effectuer des achats ou dépenses inadéquates » ( sic ). En dépit de la teneur du certificat médical, le fils de l’intéressé a attendu le mois de septembre 2022, soit plus de trois ans après l’établissement du certificat médical, pour adresser une demande de curatelle au TPAE, ce qui rend vraisemblable que l’intéressé était tout de même capable de gérer ses affaires administratives de manière indépendante. Étant encore précisé que, dans l’intervalle, M. B______ a, semble-t-il, jugé son père suffisamment capable de discernement pour partager un bien immobilier propriété de l’hoirie de Feu Madame C______ afin que son père lui cède la nue-propriété du bien immobilier sis à Beaulmes (VD) en échange de la constitution d’un droit d’usufruit en sa faveur, ce qui découle de l’acte authentique de partage du 27 avril 2022 établi par la notaire E______, avec étude à Orbe (VD).</w:t>
      </w:r>
    </w:p>
    <w:p>
      <w:r>
        <w:rPr>
          <w:b/>
        </w:rPr>
        <w:t>E. 12.4</w:t>
      </w:r>
    </w:p>
    <w:p>
      <w:r>
        <w:t>Compte tenu de l’ensemble des éléments examinés supra , la chambre de céans considère que les curateurs ne sont pas parvenus à établir, au degré de la vraisemblance prépondérante, que le dessaisissement d’un montant global de CHF 185'099.-, qui s’est déroulé entre le début de l’année 2017 et la fin de l’année 2018, est nul en raison de l’incapacité de discernement de leur protégé au moment des faits. Dès lors, c’est à juste titre que l’intimé a tenu compte de ce dessaisissement dans le calcul des prestations complémentaires.</w:t>
      </w:r>
    </w:p>
    <w:p>
      <w:r>
        <w:rPr>
          <w:b/>
        </w:rPr>
        <w:t>E. 12.5</w:t>
      </w:r>
    </w:p>
    <w:p>
      <w:r>
        <w:t>Pour avoir droit à des prestations complémentaires, la fortune nette d’une personne seule ne doit pas être supérieure à CHF 100'000.- à teneur de l’art. 9 al. 1 let. a LPC et de l’art 1A al. 1 LPCC, qui renvoie aux dispositions de la LPC. Selon les éléments figurant au dossier et notamment l’état de fortune comprenant l’état de fortune mobilière de l’intéressé, il apparaît que ce dernier était titulaire d’une fortune globale de CHF 202'086.- au moment du dépôt de la demande de prestations complémentaires, après réintégration dans la fortune du montant dont il s’était dessaisi.</w:t>
      </w:r>
    </w:p>
    <w:p>
      <w:r>
        <w:rPr>
          <w:b/>
        </w:rPr>
        <w:t>E. 12.6</w:t>
      </w:r>
    </w:p>
    <w:p>
      <w:r>
        <w:t>Compte tenu du seuil de fortune pour une personne seule fixée à CHF 100'000.-, il n’est pas nécessaire d’examiner plus avant la question du second dessaisissement intervenu par acte authentique du 27 avril 2022, dès lors que le montant de la fortune du recourant, en tenant compte du premier dessaisissement, dépasse largement le seuil de CHF 100'000.-, ce qui ne lui donne aucun droit à des prestations complémentaires fédérales ou cantonales.</w:t>
      </w:r>
    </w:p>
    <w:p>
      <w:r>
        <w:rPr>
          <w:b/>
        </w:rPr>
        <w:t>E. 13</w:t>
      </w:r>
    </w:p>
    <w:p>
      <w:r>
        <w:t>À teneur de ce qui précède, la chambre de céans n’a d’autre choix que de rejeter le recours.</w:t>
      </w:r>
    </w:p>
    <w:p>
      <w:r>
        <w:rPr>
          <w:b/>
        </w:rPr>
        <w:t>E. 14</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