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A/4169/2023 vom 29. Oktober 2024</w:t>
      </w:r>
    </w:p>
    <w:p>
      <w:r>
        <w:t>GE Cour de justice, 2024-10-29, FR</w:t>
      </w:r>
    </w:p>
    <w:p>
      <w:r>
        <w:rPr>
          <w:b/>
        </w:rPr>
        <w:t xml:space="preserve">Quelle: </w:t>
      </w:r>
      <w:r>
        <w:t>https://mcp.opencaselaw.ch/entscheid/ge_gerichte_A_4169_2023</w:t>
      </w:r>
    </w:p>
    <w:p>
      <w:r>
        <w:t>FR: GE_GERICHTE A/4169/2023 du 29 octobre 2024</w:t>
      </w:r>
    </w:p>
    <w:p>
      <w:r>
        <w:t>IT: GE_GERICHTE A/4169/2023 del 29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se plaint d’un établissement inexact des faits.</w:t>
      </w:r>
    </w:p>
    <w:p>
      <w:r>
        <w:rPr>
          <w:b/>
        </w:rPr>
        <w:t>E. 2.1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Contrairement au code de procédure civile du 19 décembre 2008 (CPC - RS 272), qui à son art. 222 al. 2 2 e phr. oblige les plaideurs à utiliser un tel mode de présentation dans leurs écritures, l’art. 73 LPA ne prévoit aucunement que la partie qui répond au recours doive exposer quels faits allégués dans le recours sont reconnus ou contestés. Plus généralement, la LPA n’impose aucune exigence particulière à laquelle doit satisfaire la réponse au recours (Stéphane GRODECKI/Romain JORDAN, Code annoté de procédure administrative genevoise, 2017, n. 922 ad art. 73 LPA).</w:t>
      </w:r>
    </w:p>
    <w:p>
      <w:r>
        <w:rPr>
          <w:b/>
        </w:rPr>
        <w:t>E. 2.2</w:t>
      </w:r>
    </w:p>
    <w:p>
      <w:r>
        <w:t>En l’espèce, si l’autorité intimée a effectivement indiqué dans son mémoire réponse « admis » à côté de plusieurs allégués, cette seule mention n’impose pas au juge administratif, compte tenu de la maxime précitée, que le fait doive impérativement être considéré comme établi. La qualité de propriétaire est l’objet du litige et l’autorité intimée la discute sur plusieurs pages. La seule mention qu’il admet la phrase « La CPEG est propriétaire de la parcelle n° 1'463 sur la commune de Genève‑Plainpalais et du bâtiment y relatif sis à la rue F______ 2______ » ne suffit pas à sceller l’issue du litige. En ne donnant pas à cette mention « admis » des allégués n os</w:t>
      </w:r>
    </w:p>
    <w:p>
      <w:r>
        <w:rPr>
          <w:b/>
        </w:rPr>
        <w:t>E. 4</w:t>
      </w:r>
    </w:p>
    <w:p>
      <w:r>
        <w:t>La recourante se plaint d’une violation du principe de la bonne foi.</w:t>
      </w:r>
    </w:p>
    <w:p>
      <w:r>
        <w:rPr>
          <w:b/>
        </w:rPr>
        <w:t>E. 4.1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w:t>
      </w:r>
    </w:p>
    <w:p>
      <w:r>
        <w:rPr>
          <w:b/>
        </w:rPr>
        <w:t>E. 4.2</w:t>
      </w:r>
    </w:p>
    <w:p>
      <w:r>
        <w:t>En l’espèce, la société est au courant de la problématique des embrasures de façade à la suite du constat, le 10 juillet 2018, que ces dernières n’étaient pas conformes aux normes énergétiques en vigueur. Après être intervenue auprès de l’OCEN, elle a obtenu un délai au 31 août 2023 pour fournir la preuve de la démolition des bâtiments. Cette décision du 27 août 2018 n’a pas été contestée et refusait notamment la dérogation à l’obligation d’assainir. En conséquence, lorsque la société a conclu l’acte notarié du 2 mars 2022, constituant à terme une servitude de superficie, renouvelant celle qui avait été précédemment en vigueur pendant dix ans, elle connaissait la problématique des travaux d’assainissement des embrasures en façade des bâtiments. Ses allégations selon lesquelles elle n’aurait pas conclu ledit contrat en ces termes si elle avait été au courant des frais à venir ne résiste pas à l’examen. La recourante ne peut en conséquence pas se prévaloir de sa bonne foi. La société fait grand cas de la lettre de l’OAC du 9 août 2021. Toutefois comme précédemment mentionné, la décision, de huit pages, procède notamment à une interprétation littérale, historique et systématique de la notion d’immeuble dans la LEaux, non pertinente en l’espèce. Elle ne peut en conséquence rien en déduire. La décision n’est pour le surplus pas contestée et est conforme au contrat de superficie. En tous points infondés, le recours sera rejeté.</w:t>
      </w:r>
    </w:p>
    <w:p>
      <w:r>
        <w:rPr>
          <w:b/>
        </w:rPr>
        <w:t>E. 5</w:t>
      </w:r>
    </w:p>
    <w:p>
      <w:r>
        <w:t>Vu l’issue du recours, un émolument de CHF 900.- sera mis à la charge d’A______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