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A/4163/2009 vom 23. März 2010</w:t>
      </w:r>
    </w:p>
    <w:p>
      <w:r>
        <w:t>GE Cour de justice, 2010-03-23, FR</w:t>
      </w:r>
    </w:p>
    <w:p>
      <w:r>
        <w:rPr>
          <w:b/>
        </w:rPr>
        <w:t xml:space="preserve">Quelle: </w:t>
      </w:r>
      <w:r>
        <w:t>https://mcp.opencaselaw.ch/entscheid/ge_gerichte_A_4163_2009</w:t>
      </w:r>
    </w:p>
    <w:p>
      <w:r>
        <w:t>FR: GE_GERICHTE A/4163/2009 du 23 mars 2010</w:t>
      </w:r>
    </w:p>
    <w:p>
      <w:r>
        <w:t>IT: GE_GERICHTE A/4163/2009 del 23 marzo 2010</w:t>
      </w:r>
    </w:p>
    <w:p>
      <w:pPr>
        <w:pStyle w:val="Heading2"/>
      </w:pPr>
      <w:r>
        <w:t>Erwägungen</w:t>
      </w:r>
    </w:p>
    <w:p>
      <w:r>
        <w:rPr>
          <w:b/>
        </w:rPr>
        <w:t>E. 1</w:t>
      </w:r>
    </w:p>
    <w:p>
      <w:r>
        <w:t>Madame K______ s’est inscrite à l’Institut européen de l’Université de Genève (ci-après : l’institut) afin d’y suivre les enseignements du programme de la maîtrise universitaire en études européennes, orientation « cultures et sociétés » depuis le semestre d’automne 2008-2009.</w:t>
      </w:r>
    </w:p>
    <w:p>
      <w:r>
        <w:rPr>
          <w:b/>
        </w:rPr>
        <w:t>E. 2</w:t>
      </w:r>
    </w:p>
    <w:p>
      <w:r>
        <w:t>Le 7 septembre 2009, le directeur de l’institut a écrit à Mme K______ pour lui annoncer son élimination de l’institut. Elle n’avait pas obtenu la moyenne de 4 aux enseignements du tronc commun après deux tentatives et ne s’était pas présentée à des examens auxquels elle était inscrite.</w:t>
      </w:r>
    </w:p>
    <w:p>
      <w:r>
        <w:rPr>
          <w:b/>
        </w:rPr>
        <w:t>E. 3</w:t>
      </w:r>
    </w:p>
    <w:p>
      <w:r>
        <w:t>Le 1 er octobre 2009, Mme K______ a fait opposition auprès du directeur de l’institut, exposant un certain nombre de circonstances extérieures qui l’avaient pénalisée : éloignement par rapport à son lieu d’études et obligation d’exercer une activité lucrative parallèlement à ses études pour assurer le financement de celles-ci. Elle demandait que la décision d’élimination soit reconsidérée.</w:t>
      </w:r>
    </w:p>
    <w:p>
      <w:r>
        <w:rPr>
          <w:b/>
        </w:rPr>
        <w:t>E. 4</w:t>
      </w:r>
    </w:p>
    <w:p>
      <w:r>
        <w:t>Le 19 octobre 2009, le directeur de l’institut a accusé réception de l’opposition. Il a indiqué que celle-ci avait été transmise à la commission constituée conformément à l’art. 28 al. 1 règlement relatif à la procédure d'opposition au sein de l'Université de Genève du 16 mars 2009 (RIO-UNIGE). Cette dernière avait instruit le dossier et s’était réunie le 15 octobre 2009, pour statuer. Elle avait rejeté l’opposition. Sur la base de ce préavis, il confirmait la décision d’élimination.</w:t>
      </w:r>
    </w:p>
    <w:p>
      <w:r>
        <w:rPr>
          <w:b/>
        </w:rPr>
        <w:t>E. 5</w:t>
      </w:r>
    </w:p>
    <w:p>
      <w:r>
        <w:t>Le 19 novembre 2009, Mme K______ a recouru auprès du Tribunal administratif contre la décision susmentionnée. Elle a conclu à l’annulation de celle-ci et à ce qu’elle soit autorisée à repasser ses examens. Il lui manquait 0,1 point pour arriver à la moyenne de 4 au tronc commun. La commission avait appliqué le règlement de manière excessivement sévère.</w:t>
      </w:r>
    </w:p>
    <w:p>
      <w:r>
        <w:rPr>
          <w:b/>
        </w:rPr>
        <w:t>E. 6</w:t>
      </w:r>
    </w:p>
    <w:p>
      <w:r>
        <w:t>Le 25 janvier 2010, le directeur de l’institut a répondu au recours, concluant à son rejet. Les conditions d’élimination étaient réalisées. Les difficultés matérielles ne constituaient pas un motif pour revenir sur cette décision, pas plus que le faible déficit de points, l’assiduité de l’intéressée aux cours n’étant pas avérée.</w:t>
      </w:r>
    </w:p>
    <w:p>
      <w:r>
        <w:rPr>
          <w:b/>
        </w:rPr>
        <w:t>E. 7</w:t>
      </w:r>
    </w:p>
    <w:p>
      <w:r>
        <w:t>Le 1 er février 2010, les parties ont été avisées que l’instruction était terminée, sous réserve de requête complémentaire à formuler au plus tard le 19 février 2010. Passé cette date, la cause serait gardée à juger en l’état. Aucune partie n’a réagi. EN DROIT 1. Depuis le 1 er janvier 2009, le Tribunal administratif est seul compétent pour connaître des décisions sur opposition rendues par une faculté de l’université ou par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ATA/499/2009 du 6 octobre 2009 ; ATA/106/2009 du 3 mars 2009). Dirigé contre la décision sur opposition du 19 octobre 2009 et interjeté dans le délai légal de trente jours (art. 36 RIO-UNIGE et 63 al. 1 let. a de la loi sur la procédure administrative du 12 septembre 1985 - LPA - E 5 10) auprès de l’autorité compétente, le recours est recevable. 2. Le 17 mars 2009, est entrée en vigueur la LU, qui a abrogé la loi sur l'Université du 26 mai 1973 (aLU) ainsi que le règlement sur l'Université du 7 septembre 1988 (aRaLU - C 1 30.06). Conformément à l'art. 46 LU, jusqu'à l'entrée en vigueur du statut de l'université, toutes les dispositions d'exécution nécessaires ont été édictées par le rectorat dans un règlement transitoire provisoire (ci-après: RT) subordonné à l'approbation du Conseil d'Etat. Ce règlement transitoire est entré en vigueur en même temps que la LU. Les faits à l'origine de la décision sur opposition de l'université du 19 octobre 2009 s'étant produits après le 17 mars 2009, la LU et le RT sont applicables en l'espèce, de même que le RE (art. 96 al. 1 RT). Quant à la procédure d'opposition au sein de l'université, elle est soumise au RIO-UNIGE. 3. Selon l'art. 69 al. 1 LPA, la juridiction administrative chargée de statuer est liée par les conclusions des parties. En revanche, elle ne l'est pas par les motifs qu'elles invoquent. 4.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En l’espèce, force est de constater que la décision ne contient aucune motivation. Le renvoi à une instruction et un préavis négatif de la commission ne peuvent en tenir lieu, puisqu’il n’est rien dit des modalités de l’une et du contenu de l’autre. Il faut relever que la Cour européenne des droits de l’Homme a récemment statué qu’il était contraire à l’art. 6 § 1 de la Convention de sauvegarde des droits de l’homme et des libertés fondamentales du 4 novembre 1950 (CEDH - RS 0.101) de ne pas soumettre à un justiciable un préavis dont le contenu est susceptible d’avoir une incidence sur le litige (ACEDH du 18 février 2010 dans la cause B______). La violation du droit d’être entendu est ainsi avérée. 5. Le droit d’être entendu, garanti expressément par l’art. 29 al. 2 de la Constitution fédérale de la Confédération suisse du 18 avril 1999 (Cst. - RS 101) est une garantie à caractère formel dont la violation doit en principe entraîner l’annulation de la décision attaquée, indépendamment des chances du recourant sur le fond (ATF 119 Ia 136 consid. 2b). Cette violation est toutefois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 /703/2002 du 19 novembre 2002). En l’espèce, les explications fournies dans les écritures respectives ne peuvent permettre de réparer une violation aussi élémentaire et grave du droit d’être entendu de la recourante, ce d’autant moins que le tribunal de céans ne revoit pas l’opportunité des décisions, qui lui sont soumises, sauf exception non réalisée en l’espèce (art. 61 al. 2 LPA). En conséquence, la seule sanction possible est la nullité de la décision querellée. 6. Le recours sera admis. Le dossier sera renvoyé à l’institut pour nouvelle décision. Vu l’issue du litige, un émolument de CHF 400.- sera mis à la charge de l’institut. Aucune indemnité ne sera allouée à la recourante qui n’a pas pris de conclusions en ce sens et agit en personne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