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A/415/2022 vom 19. Mai 2022</w:t>
      </w:r>
    </w:p>
    <w:p>
      <w:r>
        <w:t>GE Cour de justice, 2022-05-19, FR</w:t>
      </w:r>
    </w:p>
    <w:p>
      <w:r>
        <w:rPr>
          <w:b/>
        </w:rPr>
        <w:t xml:space="preserve">Quelle: </w:t>
      </w:r>
      <w:r>
        <w:t>https://mcp.opencaselaw.ch/entscheid/ge_gerichte_A_415_2022</w:t>
      </w:r>
    </w:p>
    <w:p>
      <w:r>
        <w:t>FR: GE_GERICHTE A/415/2022 du 19 mai 2022</w:t>
      </w:r>
    </w:p>
    <w:p>
      <w:r>
        <w:t>IT: GE_GERICHTE A/415/2022 del 19 maggio 2022</w:t>
      </w:r>
    </w:p>
    <w:p>
      <w:pPr>
        <w:pStyle w:val="Heading2"/>
      </w:pPr>
      <w:r>
        <w:t>Erwägungen</w:t>
      </w:r>
    </w:p>
    <w:p>
      <w:r>
        <w:rPr>
          <w:b/>
        </w:rPr>
        <w:t>E. 3</w:t>
      </w:r>
    </w:p>
    <w:p>
      <w:r>
        <w:t>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![endif]&gt;![if&gt;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(cf. ATAS/393/2021 ).</w:t>
      </w:r>
    </w:p>
    <w:p>
      <w:r>
        <w:rPr>
          <w:b/>
        </w:rPr>
        <w:t>E. 4</w:t>
      </w:r>
    </w:p>
    <w:p>
      <w:r>
        <w:t>En l'occurrence, l'intimé a admis la plausibilité de l’aggravation invoquée par l’assuré et proposé que la cause lui soit renvoyée pour instruction de la nouvelle demande, sans rendre de décision formelle. Il convient donc de statuer en ce sens. ![endif]&gt;![if&gt; PAR CES MOTIFS, LA CHAMBRE DES ASSURANCES SOCIALES : Statuant A la forme: 1.        Déclare le recours recevable. ![endif]&gt;![if&gt; Au fond: 2.        L'admet partiellement. ![endif]&gt;![if&gt; 3.        Annule la décision du 10 janvier 2022. ![endif]&gt;![if&gt; 4.        Renvoie la cause à l’OAI pour instruction de la nouvelle demande et nouvelle décision. ![endif]&gt;![if&gt; 5.        Renonce à percevoir l'émolument. ![endif]&gt;![if&gt;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