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A/415/2013 vom 6. März 2013</w:t>
      </w:r>
    </w:p>
    <w:p>
      <w:r>
        <w:t>GE Cour de justice, 2013-03-06, FR</w:t>
      </w:r>
    </w:p>
    <w:p>
      <w:r>
        <w:rPr>
          <w:b/>
        </w:rPr>
        <w:t xml:space="preserve">Quelle: </w:t>
      </w:r>
      <w:r>
        <w:t>https://mcp.opencaselaw.ch/entscheid/ge_gerichte_A_415_2013</w:t>
      </w:r>
    </w:p>
    <w:p>
      <w:r>
        <w:t>FR: GE_GERICHTE A/415/2013 du 6 mars 2013</w:t>
      </w:r>
    </w:p>
    <w:p>
      <w:r>
        <w:t>IT: GE_GERICHTE A/415/2013 del 6 marzo 2013</w:t>
      </w:r>
    </w:p>
    <w:p>
      <w:pPr>
        <w:pStyle w:val="Heading2"/>
      </w:pPr>
      <w:r>
        <w:t>Erwägungen</w:t>
      </w:r>
    </w:p>
    <w:p>
      <w:r>
        <w:rPr>
          <w:b/>
        </w:rPr>
        <w:t>E. 4</w:t>
      </w:r>
    </w:p>
    <w:p>
      <w:r>
        <w:t>ème Chambre En la cause Madame L_________, domiciliée à Genève, comparant avec élection de domicile en l'étude de Maître Gustavo DA SILVA recourante contre SUVA, CAISSE NATIONALE SUISSE D'ASSURANCE EN CAS D'ACCIDENTS, sise Fluhmattstrasse 1, 6002 Lucerne intimée EN FAIT Par déclaration d’accident du 15 août 2011, l’entreprise X_________ Sàrl a annoncé à la CAISSE NATIONALE SUISSE D’ASSURANCE EN CAS D’ACCIDENTS (ci-après SUVA ou l’intimée) que sa secrétaire de direction, Madame L_________ (ci-après l’assurée ou la recourante), née en 1952, a été percutée par une voiture le 27 juillet 2011, alors qu’elle traversait la route. Aux HOPITAUX UNIVERSITAIRES DE GENEVE (ci-après HUG), les médecins ont diagnostiqué une fracture trimalléolaire Weber B de la cheville droite. Le 16 août 2011, la SUVA Genève a demandé à l’assurée de faire déclarer l’accident également par son autre employeur, Y_________, ce qui fut fait le 5 octobre 2011. Le 17 août 2011, la SUVA a accepté de verser les prestations d’assurance. La SUVA a procédé à un contrôle des salaires versés par l’entreprise X_________ Sàrl, à la suite duquel il est apparu qu’en 2010 et 2011, plus aucun salaire n’a été déclaré à la SUVA, ni à l’AVS. Par décision du 13 novembre 2012, la SUVA a refusé d’engager sa responsabilité et a réclamé à l’assurée la restitution des indemnités journalières versées à tort pour l’entreprise X_________ Sàrl, soit le montant de 18'945 fr. 35. L’opposition formée par l’assurée a été rejetée par décision de la SUVA du 3 janvier 2013. L’effet suspensif a été retiré. Par acte du 4 février 2013, l’assurée, représentée par son mandataire, interjette recours. Préalablement, elle conclut au rétablissement de l’effet suspensif concernant la restitution des prestations versées. Sur le fond, elle considère en substance que la SUVA a violé son devoir d’information, de sorte qu’elle a engagé sa responsabilité et doit supporter le dommage subi par la recourante du fait de sa non affiliation. Invitée à se déterminer, l’intimée, par écriture du 28 février 2013, acquiesce partiellement à la demande de restitution de l’effet suspensif en tant qu’elle porte sur la question de la restitution. Sur quoi,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les délai et forme prévus par la loi, le recours est recevable (art. 56 et 60 LPGA ; art. 89B de la loi sur la procédure administrative, du 12 septembre 1985 - LPA ; RSG E 5 10). La recourante sollicite préalablement la restitution de l’effet suspensif.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ou l'office AI peut, dans sa décision, prévoir qu'un recours éventuel n'aura pas d'effet suspensif, même si la décision porte sur une prestation pécuniaire. L'entrée en vigueur de la LPGA et de l'OPGA n'a rien changé à la jurisprudence en matière de retrait par l'administration de l'effet suspensif à une opposition ou à un recours ou de restitution de l'effet suspensif (ATFA P.-S. du 24 février 2004 I 46 /04).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p. 88).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 applicable par analogie à l'assurance-invalidité en vertu de l'art. 81 LAI (abrogé par la LPGA). En l’espèce, la recourante sollicite le rétablissement de l’effet suspensif, s’agissant de la restitution de l’effet suspensif. L’intimée acquiesce à cette requête, de sorte que la Cour de céans restituera l’effet suspensif, d’accord entre les parties. PAR CES MOTIFS, LA CHAMBRE DES ASSURANCES SOCIALES : Statuant A la forme : Déclare le recours recevable. Sur incident et d’accord entre les parties ; Restitue l’effet suspensif en tant qu’il concerne la demande de restitution des prestations.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