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A/415/2006 vom 18. Juli 2006</w:t>
      </w:r>
    </w:p>
    <w:p>
      <w:r>
        <w:t>GE Cour de justice, 2006-07-18, FR</w:t>
      </w:r>
    </w:p>
    <w:p>
      <w:r>
        <w:rPr>
          <w:b/>
        </w:rPr>
        <w:t xml:space="preserve">Quelle: </w:t>
      </w:r>
      <w:r>
        <w:t>https://mcp.opencaselaw.ch/entscheid/ge_gerichte_A_415_2006</w:t>
      </w:r>
    </w:p>
    <w:p>
      <w:r>
        <w:t>FR: GE_GERICHTE A/415/2006 du 18 juillet 2006</w:t>
      </w:r>
    </w:p>
    <w:p>
      <w:r>
        <w:t>IT: GE_GERICHTE A/415/2006 del 18 luglio 2006</w:t>
      </w:r>
    </w:p>
    <w:p>
      <w:pPr>
        <w:pStyle w:val="Heading2"/>
      </w:pPr>
      <w:r>
        <w:t>Regeste</w:t>
      </w:r>
    </w:p>
    <w:p>
      <w:r>
        <w:t>LP.93, LP.275, LP.279</w:t>
      </w:r>
    </w:p>
    <w:p>
      <w:pPr>
        <w:pStyle w:val="Heading2"/>
      </w:pPr>
      <w:r>
        <w:t>Erwägungen</w:t>
      </w:r>
    </w:p>
    <w:p>
      <w:r>
        <w:rPr>
          <w:b/>
        </w:rPr>
        <w:t>E. 1</w:t>
      </w:r>
    </w:p>
    <w:p>
      <w:r>
        <w:t>La Commission de céans est compétente pour statuer sur les plaintes formées en application de la LP (art. 10 al. 1 LaLP). Le procès-verbal de séquestre constatant l’insaisissabilité du salaire du débiteur est un acte sujet à plainte (art. 17 al. 1 LP), que la plaignante, en tant que créancière poursuivante, a qualité pour agir par cette voie. La présente plainte a été formée dans le délai de dix jours suivant la communication de cet acte (art. 17 al. 2 LP). Elle satisfait au surplus aux exigences de forme et de contenu prescrites par la loi (art. 13 al. 1 et 2 LaLP). La présente plainte est donc recevable. 2.a. A teneur de l’art. 93 LP applicable par analogie à l’exécution d’un séquestre (art. 275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Le minimum vital d'un débiteur, qui doit être fixé en fonction des circonstances de fait existant lors de l'exécution de la saisie ou du séquestre, est déterminé sur la base des normes d'insaisissabilité édictées par la Commission de céans pour le canton de Genève, en vigueur lors de l’exécution de la saisie ou du séquestre, soit en l'occurrence les normes pour l'année 2006. Il convient d'ajouter à la base mensuelle selon ces normes (ch. I) le loyer effectif du logement du débiteur et les frais de chauffage (ch. II.1 et 2). Par ailleurs, font également partie du minimum vital les cotisations d'assurance maladie (ch. II.3) et les dépenses indispensables à l'exercice d'une activité professionnelle, tels que frais de transport ou de repas pris en dehors du domicile (ch. II.4). 2.b. Dans un rapport de concubinage, lorsque les concubins n’ont pas d’enfant en commun, le montant qui peut être retenu à titre de participation du partenaire aux frais communs du ménage ne peut pas dépasser la moitié de ces frais ; cela reviendrait, en effet, à autoriser les créanciers à se satisfaire sur un patrimoine qui n’est pas celui du débiteur et à l’égard duquel ce dernier ne peut faire valoir aucun droit à l’entretien (JdT 2002 II 58 ss et les références citées ; Michel Ochsner , in CR-LP, ad art. 93 n° 92 ss). En l’espèce, le débiteur et sa compagne n’ayant pas d’enfant en commun, force est de constater que le mode de calcul appliqué par l’Office est erroné. En effet, l’Office aurait dû retenir la moitié du montant de base pour un couple ainsi que la moitié du loyer et ne pas tenir compte des revenus et des charges propres à la compagne du débiteur. 2.c. Lorsque le débiteur est un frontalier domicilié en France voisine du canton de Genève, les bases mensuelles d'entretien, y compris celles des enfants à charge, sont réduites de 15 %, le coût de la vie y étant notoirement moins élevé qu’en Suisse (SJ 2000 II 214 ; Michel Ochsner , in CR-LP, ad art. 93 n° 109 s.). 3.a. Dans le calcul du minimum vital d'un débiteur, seuls les montants effectivement payés doivent être pris en compte (Michel Ochsner , in CR-LP, ad art. 93 n° 82 s.). Ce principe vaut tant pour les contributions d'entretien que pour les primes d'assurance maladie et les loyers. Le débiteur peut demander une révision de la saisie à partir du moment où il établit avoir conclu un contrat de bail ou d'assurance maladie et payer effectivement les loyers ou les primes d'assurance convenus (ATF 121 III 20 consid. 3b p. 23; 120 III 16 consid. 2c, p. 17 = JdT 1996 II 179, 181). 3.b. En outre, la saisie tend à contraindre le débiteur à s’acquitter des créances qui lui sont réclamées par la voie d’une procédure d’exécution forcée. Eu égard au but d’une telle mesure, il n’est pas possible de tenir compte, dans le calcul du minimum vital, de dettes ordinaires que le débiteur rembourse chaque mois, quand bien même l’intéressé aurait pris des engagements en ce sens. En effet, il ne se justifie pas de privilégier un créancier qui n'a pas introduit de poursuite, au détriment des autres créanciers saisissants. Un tel privilège n'est pas concevable et, de surcroît, pas prévu par la loi ; seules doivent entrer en ligne de compte dans le calcul du minimum vital les dépenses indispensables à l'entretien du débiteur et de sa famille (ATF 96 III 6 , JdT 1966 II 49 ; ATF 102 III 17 ). 4.a. Les dépenses indispensables à l'exercice d'une profession, pour autant que l'employeur ne les assume pas directement, s'ajoutent au minimum vital. Ainsi en est-il des frais de déplacement jusqu'au lieu de travail (Normes II.4.c.). Selon le mode de transport utilisé, la charge correspond soit à une indemnité forfaitaire, soit à l'addition des coûts (essence en fonction du nombre de km effectués par mois, coût mensualisé des primes d'assurance casco et RC, des services courants pour l'entretien et de l'impôt sur les véhicules) engendrés par l'utilisation d'une voiture, si celle-ci est indispensable. In casu , la Commission de céans retient que l'utilisation d'une voiture est indispensable au poursuivi, qui vit à environ 21 km de son lieu de travail, où il doit se rendre cinq jours par semaine. Compte tenu du nombre de km effectué (42 km par jour x 22 jours ouvrables en moyenne par mois = 924 km), du prix de l'essence à 1 fr. 75 et du nombre de litres consommés aux cent km, fixé à 10 litres en moyenne pour une voiture de puissance raisonnable, le coût de la consommation d'essence représente 161 fr. 70. ([10 x 924 : 100 x 1 fr. 75]). A cette somme doit s'ajouter la prime RC mensualisée et l'impôt, dont les montants n’ont toutefois pas été communiqués à la Commission de céans. En l’état, seul un montant de 161 fr. 70 par mois sera retenu au titre de frais de transport. 4.b. Les dépenses pour les repas pris hors du domicile font également partie du minimum vital si elles sont justifiées. En l’espèce, vu la distance qui sépare le domicile du débiteur de son lieu de travail, il se justifie d’admettre un montant de 220 fr. par mois (22 repas à 10 fr.) au titre de frais de repas du débiteur. 5.a. Ainsi, le minimum vital du débiteur, calculé en application des normes d’insaisissabilité pour l’année 2006 (au demeurant identiques à celles de l’année 2005), en vigueur lors de l’exécution du séquestre, s’établit comme suit, étant rappelé qu’il est domicilié en France et que dans un rapport de concubinage, sans enfant commun, seule la moitié des charges communes peut être prise en compte dans le minimum vital d'un débiteur (consid. 2.b et 2.c) : Entretien de base Fr. 658,75 (Normes I.1) Assurance-maladie Fr. 287,85 (Normes II.3) Frais de repas Fr. 220.-- (Normes II.4.b) Frais de transport Fr. 161,70 (Normes II.4.c) Pension alimentaire Fr. 2'750.-- (Normes II.5) Total : Fr. 4'078,30 Il ne saurait être tenu compte de l’intégralité des pensions alimentaires dues par le débiteur, dès lors que celui-ci n’a pas prouvé leur paiement intégral, alors qu’il en a eu l’occasion. Prenant en compte les versements que, selon les pièces produites, le débiteur a effectués à ce titre, la Commission de céans retient un montant mensuel de 2'750 fr. sur les 3'565 fr. (2'300 euros) qu’il devrait payer (cf. partie « En fait », ad let. A in fine p. 2, let. C in fine p. 5 in medio et let. H p. 8 s.). 5.b. Au titre des revenus, la Commission de céans prend appui notamment sur le certificat de salaire pour la déclaration d’impôt versé au dossier, qui fait état d’un revenu annuel net de 80'913,55 fr., soit d’un revenu mensuel de 6'742,80 fr., tout compris, prime trimestrielle et treizième salaire (cf. partie « En fait », ad let. E in fine p. 8), et sur les certificats de salaire produits et les explications fournies par l’employeur du débiteur, en particulier la fiche de salaire de décembre 2005 faisant mention d’un treizième salaire de 6'850 fr. brut, soit - à s’en tenir aux déductions ordinaires, la retenue opérée pour le remboursement du prêt consenti par l’employeur non comprise (consid. 3.b) - de 4'961,20 fr. net. Il n’y a toutefois pas lieu de mensualiser le treizième salaire ( DCSO/326/06 consid. 2.e du 24 mai 2006). Il doit en revanche être saisi en plus de la saisie mensuelle, pour le mois au cours duquel il est versé. La prime trimestrielle de 760 fr. que perçoit le débiteur, elle aussi comprise dans le salaire annuel susmentionné, peut en revanche être répartie sur chaque mois, à raison d’un tiers (environ 253 fr.), par mesure de simplification et vu la régularité et la relative modicité du montant ainsi versé en sus du salaire mensuel ordinaire. En l’espèce, le revenu mensuel net déterminant du débiteur est donc d’un douzième de 75'952,35 fr. (80'913,55 fr. - 4'961,20 fr.), ce qui donne 6'329,35 fr. 5.c. La quotité saisissable du débiteur est donc de 2'251,05 fr. par mois (6'329,35 - 4’78,30 fr.), soit en chiffres arrondis de 2'250 fr. par mois. La présente plainte est donc partiellement bien fondée. Le procès-verbal de séquestre constatant l’insaisissabilité du débiteur doit donc être annulé. 5.d. Les décisions de la Commission de céans modifiant la quotité saisissable n’ont d’effet rétroactif qu’en faveur d’un débiteur (SJ 2000 II 211). C’est dire que la présente décision ne déploiera d’effet que pour l’avenir. Il incombe à l’Office, à réception de la présente décision, d’exécuter sans délai le séquestre prononcé par le Tribunal de première instance pour un montant mensuel de 2'250 fr. par mois, plus le treizième salaire. 5.e. Il est vrai que les données retenues par la Commission de céans concernent essentiellement le second semestre de l’année 2005 et qu’il est possible qu’elles aient évolué récemment, tant en ce qui concerne les charges que les revenus du débiteur. Toutefois, lorsqu'elle est saisie d'une plainte, l'autorité de surveillance de à uniquement à vérifier si la retenue fixée par l'office est conforme aux faits déterminant la quotité saisissable des revenus du débiteur, compte tenu des circonstances existant au moment de l'exécution de cette mesure. De plus, selon l’art. 93 al. 3 LP, si, durant la durée de validité de la saisie, qui est au plus d’un an (art. 93 al. 2 LP), l’Office a connaissance d’une modification déterminante pour le montant de la saisie (en l’espèce l’exécution d’un séquestre), il lui faut adapter l’ampleur de la saisie aux nouvelles circonstances. Il peut être informé de telles modifications par les parties ou même par ses propres investigations. En cas d’exécution d’un séquestre portant sur le salaire d’un débiteur (notamment frontalier), l’Office ne peut effectuer des investigations aussi étendues qu’en cas d’exécution d’une saisie. Il calcule le minimum vital du frontalier séquestré sur la base des renseignements sommaires à sa disposition, sous réserve du droit des parties de porter plainte contre l’exécution du séquestre en fournissant et prouvant les données déterminantes (Walter Stoffel / Isabelle Chabloz , in CR-LP, ad art. 275 n° 17 s.). A ce stade de la procédure d’exécution du séquestre, il se justifie cependant que la Commission de céans renvoie la cause à l’Office pour qu’il procède à des investigations complémentaires aux fins d’actualiser les données sur la situation patrimoniale du débiteur et lui offre par ailleurs de prouver une nouvelle foi le paiement effectif de certaines de ses charges, ici non prises en compte du fait d’un défaut de preuve de leur paiement, et qu’en cas de modifications effectives des données il prenne une nouvelle décision. Il lui est toutefois loisible de s’assurer au préalable que le séquestre soit bien validé par la plaignante (art. 279 LP), à défaut de quoi le séquestre deviendrait caduc.</w:t>
      </w:r>
    </w:p>
    <w:p>
      <w:r>
        <w:rPr>
          <w:b/>
        </w:rPr>
        <w:t>E. 6</w:t>
      </w:r>
    </w:p>
    <w:p>
      <w:r>
        <w:t>Il sied encore d’expliquer brièvement à la plaignante que lorsqu’il exécute un séquestre portant sur le salaire, l’Office avise sans délai l’employeur du débiteur séquestré qu’il ne peut désormais et jusqu’à nouvel avis plus s’acquitter qu’en mains de l’Office. Il s’agit là d’une mesure de sûreté. Il n’y a exécution du séquestre qu’au moment où le procès-verbal de séquestre est communiqué au débiteur séquestré (Walter Stoffel / Isabelle Chabloz , in CR-LP, ad art. 275 n° 24). Si donc l’Office considère que le revenu du débiteur séquestré est insaisissable (comme en l’espèce, il est vrai à tort), il est normal qu’il lève cette mesure de sûreté et permette ainsi le versement du salaire jugé insaisissable au débiteur, afin qu’il n’y ait pas atteinte au minimum vital de ce dernier.</w:t>
      </w:r>
    </w:p>
    <w:p>
      <w:r>
        <w:rPr>
          <w:b/>
        </w:rPr>
        <w:t>E. 7</w:t>
      </w:r>
    </w:p>
    <w:p>
      <w:r>
        <w:t>La procédure de plainte est gratuite (art. 20a al. 1 phr. 1 LP ; art. 61 al. 2 let. a OELP). Il ne peut être alloué aucun dépens (art. 62 al. 2 OELP). * * * * * PAR CES MOTIFS, LA COMMISSION DE SURVEILLANCE SIÉGEANT EN SECTION : A la forme : 1. Déclare recevable la plainte formée le 6 février 2006 par Mme J______ contre le procès-verbal de séquestre n° 06 070.003.V. Au fond : 2. L’admet partiellement. 3. Annule de le procès-verbal de séquestre n° 06 xxxx03.V. 4. Ordonne à l’Office des poursuites, à réception de la présente décision, d’exécuter le séquestre de salaire ordonné par le Tribunal de première instance à hauteur de 2'250 fr. par mois, plus le treizième salaire. 5. Renvoie la cause à l’Office afin qu’il procède aux investigations utiles à l’actualisation des données et, s’il y a lieu, qu’il prenne une nouvelle décision, dans le sens du considérant 5. 6. Déboute les parties de toutes autres conclusions. Siégeant : M. Raphaël MARTIN, président ; M. Philipp GANZONI et Mme Magali ORSINI, juges assesseur-e-s.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