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A/4158/2015 vom 22. Dezember 2015</w:t>
      </w:r>
    </w:p>
    <w:p>
      <w:r>
        <w:t>GE Cour de justice, 2015-12-22, FR</w:t>
      </w:r>
    </w:p>
    <w:p>
      <w:r>
        <w:rPr>
          <w:b/>
        </w:rPr>
        <w:t xml:space="preserve">Quelle: </w:t>
      </w:r>
      <w:r>
        <w:t>https://mcp.opencaselaw.ch/entscheid/ge_gerichte_A_4158_2015</w:t>
      </w:r>
    </w:p>
    <w:p>
      <w:r>
        <w:t>FR: GE_GERICHTE A/4158/2015 du 22 décembre 2015</w:t>
      </w:r>
    </w:p>
    <w:p>
      <w:r>
        <w:t>IT: GE_GERICHTE A/4158/2015 del 22 dicembre 2015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Vu ce qui précède, le recours, infondé, sera rejeté.</w:t>
      </w:r>
    </w:p>
    <w:p>
      <w:r>
        <w:rPr>
          <w:b/>
        </w:rPr>
        <w:t>E. 10</w:t>
      </w:r>
    </w:p>
    <w:p>
      <w:r>
        <w:t>Vu la nature du litige et le fait que le recourant est au bénéfice de l’assistance juridique, il ne sera pas perçu d’émolument (art. 12 et 13 al. 1 du règlement sur les frais, émoluments et indemnités en procédure administrative du 30 juillet 1986 - RFPA - E 5 10.03). Vu l’issue du litige, aucune indemnité de procédure ne sera allouée au recourant (art. 87 al. 2 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