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A/4153/2005 vom 13. Oktober 2005</w:t>
      </w:r>
    </w:p>
    <w:p>
      <w:r>
        <w:t>GE Cour de justice, 2005-10-13, FR</w:t>
      </w:r>
    </w:p>
    <w:p>
      <w:r>
        <w:rPr>
          <w:b/>
        </w:rPr>
        <w:t xml:space="preserve">Quelle: </w:t>
      </w:r>
      <w:r>
        <w:t>https://mcp.opencaselaw.ch/entscheid/ge_gerichte_A_4153_2005</w:t>
      </w:r>
    </w:p>
    <w:p>
      <w:r>
        <w:t>FR: GE_GERICHTE A/4153/2005 du 13 octobre 2005</w:t>
      </w:r>
    </w:p>
    <w:p>
      <w:r>
        <w:t>IT: GE_GERICHTE A/4153/2005 del 13 ottobre 2005</w:t>
      </w:r>
    </w:p>
    <w:p>
      <w:pPr>
        <w:pStyle w:val="Heading2"/>
      </w:pPr>
      <w:r>
        <w:t>Regeste</w:t>
      </w:r>
    </w:p>
    <w:p>
      <w:r>
        <w:t>; PRÉVOYANCE PROFESSIONNELLE ; PRÉVOYANCE PROFESSIONNELLE SELON LA LPP ; LIBRE PASSAGE(ASSURANCES) ; DIVORCE ; PARTAGE(SENS GÉNÉRAL) ; TAUX D'INTÉRÊT | LFLP; LFLP 25a; LFLP 22; LFLP 24; OLP 8a; OPP 2 12</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(OPP 2), le taux d'intérêt applicable à la prestation de sortie acquise avant le mariage est de 4% jusqu' au 31 décembre 2002 et 3,25% en 2003, 2,25% en 2004 et 2,5% en 2005. Par conséquent les intérêts dus au demandeur sur la somme de 3'664 fr.25 existant au 31 mai 1988 se montent à 1'311 fr. 45 (7 ans à 4% 1 an à 3,25%, 1 an à 2,25% et 11 mois à 2,5%).</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