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A/4148/2020 vom 2. März 2021</w:t>
      </w:r>
    </w:p>
    <w:p>
      <w:r>
        <w:t>GE Cour de justice, 2021-03-02, FR</w:t>
      </w:r>
    </w:p>
    <w:p>
      <w:r>
        <w:rPr>
          <w:b/>
        </w:rPr>
        <w:t xml:space="preserve">Quelle: </w:t>
      </w:r>
      <w:r>
        <w:t>https://mcp.opencaselaw.ch/entscheid/ge_gerichte_A_4148_2020</w:t>
      </w:r>
    </w:p>
    <w:p>
      <w:r>
        <w:t>FR: GE_GERICHTE A/4148/2020 du 2 mars 2021</w:t>
      </w:r>
    </w:p>
    <w:p>
      <w:r>
        <w:t>IT: GE_GERICHTE A/4148/2020 del 2 marzo 2021</w:t>
      </w:r>
    </w:p>
    <w:p>
      <w:pPr>
        <w:pStyle w:val="Heading2"/>
      </w:pPr>
      <w:r>
        <w:t>Erwägungen</w:t>
      </w:r>
    </w:p>
    <w:p>
      <w:r>
        <w:rPr>
          <w:b/>
        </w:rPr>
        <w:t>E. 2</w:t>
      </w:r>
    </w:p>
    <w:p>
      <w:r>
        <w:t>ème section dans la cause Monsieur A______ contre OFFICE CANTONAL DE LA POPULATION ET DES MIGRATIONS EN FAIT 1) Par décision du 9 novembre 2020, l'office cantonal de la population et des migrations (ci-après : OCPM) a décidé de saisir le départ de Monsieur A______ de Suisse à destination de Saint-Julien-en-Genevois à la date du 11 janvier 2016. Il ressortait d'un rapport d'entraide administrative interdépartementale du 9 septembre 2020 - sur lequel il sera revenu plus en détail dans la partie « en droit » - qu'il ne résidait plus en Suisse. Depuis le 11 janvier 2016, Madame B______ occupait l'appartement de 3 ½ pièces de l'immeuble sis au ______, rue C______ dans lequel il avait jusqu'alors vécu. Elle y logeait avec son compagnon. M. A______ s'était déterminé par courrier du 4 novembre 2020 sur l'intention de l'OCPM de rendre la décision précitée. Or, les éléments apportés par lui ne permettaient pas de retenir qu'il était toujours domicilié au ______, rue C______. 2) Par acte expédié le 6 décembre 2020 à la chambre administrative de la Cour de justice, M. A______ a contesté cette décision. Il habitait toujours le 4 ½ pièces sis ______, rue C______ qu'il avait repris après le décès de sa mère en octobre 2018. Lui-même avait loué précédemment un 3 ½ pièces dans le même immeuble, qu'il avait sous-loué à Mme B______ du 11 janvier à fin mars 2019. Ayant repris le bail de sa défunte mère, il avait résilié le bail relatif à l'appartement de 3 ½ pièces en proposant comme locataire Mme B______. La régie ayant choisi un autre locataire, il l'avait accueillie avec son compagnon, Monsieur D______, dans son appartement de 4 ½ pièces en attendant qu'ils trouvent à se reloger. Lors du passage des inspecteurs de l'OCPM, en septembre 2020, il habitait provisoirement chez son ex-compagne à Saint-Julien, afin de garder leurs enfants, celle-ci étant indépendante et sa propre activité professionnelle étant à l'arrêt en raison de la pandémie. 3) L'OCPM a conclu au rejet du recours. Il a relevé que bien que le recourant soit titulaire de deux baux au ______, rue C______, un appartement était occupé par Monsieur E______ et l'autre par Mme B______ et M. D______. Il sollicitait donc l'audition de ces trois personnes. 4) Dans sa réplique, M. A______ a « réfuté totalement » les déterminations de l'OCPM. 5) Lors de l'audience de comparution personnelle des parties, qui s'est tenue le 22 février 2021 devant la chambre de céans, le recourant a exposé qu'il avait repris le bail de 4 ½ pièces au décès de sa mère en octobre 2018 et avait occupé cet appartement, s'étant séparé de sa compagne avec qui il y avait vécu avec leurs deux enfants, à Saint-Julien depuis janvier 2016. En mai 2019, il avait proposé à Mme B______ et son compagnon de les héberger dans son appartement précité de 4 ½ pièces, dès lors qu'il avait résilié le bail de l'appartement de 3 ½ pièces, sis dans le même immeuble, qu'il lui avait sous-loué depuis son départ à Saint-Julien. Il avait espéré que la régie accepte Mme B______ comme locataire de cet appartement, ce qui n'avait toutefois pas été le cas, raison pour laquelle il lui avait proposé de loger dans son 4 ½ pièces, le temps qu'elle trouve un nouvel appartement. Elle venait de quitter cet appartement à fin janvier 2021. Il était également titulaire, à la même adresse, d'un bail relatif à un studio. Celui-ci avait toujours été loué à une seule personne, à savoir M. E______. Il lui arrivait de passer la nuit dans ce studio lorsque cela lui évitait de faire le déplacement jusqu'à Saint-Julien. La case postale à Carouge était celle de son entreprise « F______», qui occupait des locaux commerciaux à Carouge. Il lui était également arrivé de dormir dans ceux-ci. Entre le 8 mars 2020 et le mois de septembre 2020, il était retourné vivre à Saint-Julien du fait du semi-confinement, d'une part, et de la garde de ses enfants, d'autre part, son ex-compagne travaillant à l'extérieur. Au mois de septembre 2020, il s'était installé avec sa nouvelle compagne à la rue G______ à Genève. Il avait néanmoins conservé l'appartement de 4 pièces ½ dont il payait le loyer et dans lequel habitait son fils I______. Il participait également au loyer de sa compagne, chez qui le couple se retrouvait. Il considérait Genève comme sa ville. Il y avait tous ses amis. Il faisait partie des H______, d'un club de basket et de l'Association genevoise des Chefs d'Entreprises. À l'issue de l'audience,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L'intimé a sollicité l'audition de Mme B______ et de MM. D______ et E______.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l'audition du recourant ainsi que les pièces figurant au dossier permettent de répondre à la question à trancher, à savoir si le recourant a quitté Genève le 11 janvier 2016 pour résider à Saint-Julien. Les faits qu'en janvier 2016 Mme B______ et M. D______ habitaient l'appartement de 3 ½ pièces occupé précédemment par le recourant, que M. E______ habitait seul le studio sis ______, rue C______ et que la mère du recourant occupait seule l'appartement de 4 ½ situé dans le même immeuble peuvent être tenus pour établis. Par ailleurs, l'audition des témoins cités par l'intimé ne permettra pas d'obtenir des éclaircissements sur d'autres points pertinents, le recourant ayant reconnu qu'il n'avait jamais co-habité avec Mme B______ et M. D______ et qu'il n'avait qu'occasionnellement passé la nuit dans le studio occupé par M. E______. Les actes d'instruction sollicités ne sont ainsi pas susceptibles d'apporter d'autres éléments pertinents pour la solution du litige. Partant, il ne sera pas procédé à d'autres actes d'instruction. 3) Est litigieux l'enregistrement dans les registres de l'OCPM du départ du recourant le 11 janvier 2016 pour Saint-Julien.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4) a. Les notions d'établissement et de séjour sont définies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b. Le domicile civil de toute personne est au lieu où elle réside avec l'intention de s'y établir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ATA/204/2018 du 6 mars 2018 ; ATA/551/2016 du 28 juin 2016). c. Si la notion d'établissement (au sens large) contenue dans la LHR s'appuie sur celle de domicile au sens de l'art. 23 CC, elle s'en distingue par le but différent poursuivi par cette loi (arrêts du Tribunal fédéral 2C_599/2011 précité consid. 2.4 ; 2C_478/2008 précité consid. 4.4).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2C_478/2008 précité consid. 3.5 ; 2C_413/2012 du 13 avril 2012 consid. 3.1 ; ATA/551/2016 précité).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ATA/389/2020 du 23 avril 2020 consid. 6; ATA/204/2018 précité ; ATA/551/2016 précité). d. Il découle de la jurisprudence fédérale précitée que ce sont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 5) En l'espèce, il ressort du dossier et des allégations constantes du recourant qu'il vivait, en janvier 2016, avec son ex-compagne et leurs deux enfants à Saint-Julien. Après leur séparation en décembre 2018, il s'est à nouveau installé à Genève, au ______, rue C______, dans l'appartement de 4 ½ pièces précédemment occupé par sa mère. Il y a vécu en tout cas jusqu'en mai 2019, lorsqu'il a proposé à Mme B______ et son compagnon d'y loger, l'appartement de 3 ½ pièces que ceux-ci sous-louaient de longue date au recourant ne leur ayant pas été attribué après la résiliation du bail par ce dernier. À bien comprendre les explications du recourant, après avoir cédé l'usage de son appartement de 4 ½ pièces à Mme B______ et M. D______, il a ensuite logé tantôt chez son ex-compagne à Saint-Julien, tantôt dans le studio occupé par M. E______, tantôt dans ses locaux professionnels. Dès lors qu'il ne peut être déterminé quel endroit était, de manière prépondérante, la résidence effective du recourant pendant cette période, il sera retenu, par attraction avec le dernier lieu de résidence défini, qu'il y a conservé sa résidence, soit à la ue C______ à Genève. Entre le 8 mars 2020 et le mois de septembre 2020, il a séjourné chez son ex-compagne à Saint-Julien. Ce séjour était censé être temporaire, lié aux circonstances de la pandémie. Dès lors que sa propre activité dans le domaine de l'événementiel était à l'arrêt et que son ex-compagne continuait à travailler, il s'est installé à Saint-Julien pour s'occuper de leurs enfants. Depuis septembre 2020, il réside de nouveau à Genève, avec sa nouvelle compagne, au chemin G______, tout en ayant conservé la titularité du bail de l'appartement de 4 ½ pièces sis au ______, rue C______. Ces derniers éléments sont corroborés par le rapport d'entraide administrative interdépartementale figurant au dossier. En effet, il en ressort qu'en août 2020, lorsque les enquêteurs se sont rendus au ______, rue C______, le recourant n'y résidait pas. Ses sous-locataires, Mme B______ et M. E______, ont confirmé qu'ils occupaient respectivement l'appartement et le studio dont le bail était au nom du recourant. Le second a également déclaré que le recourant habitait alors provisoirement à Saint-Julien avec ses deux enfants mineurs. Au vu de ce qui précède, il y a lieu de constater que le recourant résidait, au sens de l'art. l'art. 3 let. b et c LHR, effectivement en janvier 2016 à Saint-Julien. Toutefois, en décembre 2018, il est revenu résider à Genève avec l'intention d'y demeurer, en logeant dans l'appartement de 4 ½ pièces sis ______, rue C______. Entre mars et septembre 2020, il a séjourné de manière temporaire à Saint-Julien et réside, depuis cette dernière date, de nouveau à Genève au chemin G______. La décision qui enregistre son départ de Suisse pour Saint-Julien en janvier 2016 est ainsi partiellement inexacte. Le recours sera donc admis, la décision annulée et la cause renvoyée à l'OCPM pour nouvelle décision dans le sens qui précède. 6) Au vu de l'issue du litige, un émolument, réduit, de CHF 300.- sera perçu. Aucune indemnité de procédure ne sera allouée, le recourant plaidant en personne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