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A/4146/2023 vom 15. Oktober 2024</w:t>
      </w:r>
    </w:p>
    <w:p>
      <w:r>
        <w:t>GE Cour de justice, 2024-10-15, FR</w:t>
      </w:r>
    </w:p>
    <w:p>
      <w:r>
        <w:rPr>
          <w:b/>
        </w:rPr>
        <w:t xml:space="preserve">Quelle: </w:t>
      </w:r>
      <w:r>
        <w:t>https://mcp.opencaselaw.ch/entscheid/ge_gerichte_A_4146_2023</w:t>
      </w:r>
    </w:p>
    <w:p>
      <w:r>
        <w:t>FR: GE_GERICHTE A/4146/2023 du 15 octobre 2024</w:t>
      </w:r>
    </w:p>
    <w:p>
      <w:r>
        <w:t>IT: GE_GERICHTE A/4146/2023 del 15 ottobre 2024</w:t>
      </w:r>
    </w:p>
    <w:p>
      <w:pPr>
        <w:pStyle w:val="Heading2"/>
      </w:pPr>
      <w:r>
        <w:t>Erwägungen</w:t>
      </w:r>
    </w:p>
    <w:p>
      <w:r>
        <w:rPr>
          <w:b/>
        </w:rPr>
        <w:t>E. 2</w:t>
      </w:r>
    </w:p>
    <w:p>
      <w:r>
        <w:t>Le litige porte sur la conformité au droit de la décision constatant la caducité de l’AUADP du recourant en raison de son âge. Le recourant considère que l’art. 13 al. 9 let. c LTVTC viole, d’une part, sa liberté économique et le principe de proportionnalité et, d’autre part, les principes de l’égalité de traitement et de l’interdiction de l’arbitraire. 2.1.1 La LTVTC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Elle s’applique notamment aux activités exercées, sur le territoire cantonal, par les chauffeurs de taxi (let. a) et les chauffeurs de VTC (let. b, art. 2 al. 1 LTVTC). Selon l’art. 5 LTVTC, le taxi est une voiture automobile des catégories M1 ou M2 jusqu’à 3,5 tonnes au sens du droit fédéral, dont le chauffeur se met à la disposition de tout public pour effectuer le transport professionnel de personnes et de leurs effets personnels, contre rémunération dans les limites maximales de la loi, offrant une complémentarité en matière de transport public et bénéficiant de l’usage accru du domaine public ainsi que du droit exclusif de faire usage de la dénomination « Taxi », notamment dans le cadre de sa publicité (let. a). Le VTC est une voiture automobile des catégories M1 ou M2 jusqu’à 3,5 tonnes au sens du droit fédéral, dont le chauffeur se met à la disposition de tout public pour effectuer le transport professionnel de personnes et de leurs effets personnels, par commande ou réservation préalable uniquement, contre rémunération convenue d’entente avec le client, ne bénéficiant ni de l’usage accru du domaine public ni du droit de faire usage de la dénomination « Taxi » (let. b). 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Concernant la caducité des AUADP, l’art. 13 al. 9 let. c LVTC prévoit en particulier que le département la constate lorsque son titulaire a atteint l’âge de 75 ans révolus. 2.1.2 La LTVTC,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(PL 12’649-A) et le 11 janvier 2022 (PL12’649-B). Il ressort de ces travaux préparatoires que la fixation d’une limite d’âge à 75 ans entraînant la caducité de l’AUADP vise à réduire le temps d’attente pour les personnes souhaitant exercer la profession et préserver la santé des administrés (pénibilité de la profession de chauffeur, charges importantes à soulever) et la sécurité des usagers (PL 12'649, exposé des motifs, p. 27). Il avait également paru important de fixer un âge maximum en présence de chauffeurs très âgés pratiquant encore leur métier pour s’occuper pendant leur retraite ainsi qu’en raison du numerus clausus et des difficultés des plus jeunes à entrer dans la profession. Initialement, le département avait prévu de fixer une limite d’âge plus basse puis, à la suite des discussions, il avait choisi de la fixer à dix ans après l’âge légal de la retraite, sachant qu’il n’y avait pas d’âge limite pour les indépendants (PL 12’469‑A, p. 33). 2.2.1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2.2.2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 2.3.1 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Pareillement, il est prévu au plan cantonal que nul ne doit subir de discrimination du fait notamment de son origine, de sa situation sociale, de son orientation sexuelle, de ses convictions ou d’une déficience (art. 15 al. 2 de la Constitution de la République et canton de Genève du 14 octobre 2012 - Cst-GE - A 2 00). L'art. 14 de la Convention de sauvegarde des droits de l’homme et des libertés fondamentales du 4 novembre 1950 (CEDH - RS 0.101) complète quant à lui les autres clauses normatives de la Convention et des Protocoles et n'a en principe pas de portée indépendante (arrêt du Tribunal fédéral 2C_1079/2019 du 23 décembre 2021 consid. 8.1 et les arrêts cités). 2.3.2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 Le Tribunal fédéral admet que les critères susceptibles de fonder une discrimination prohibée au sens de l'art. 8 al. 2 Cst. n'ont pas exactement tous la même portée, étant précisé que les distinctions fondées sur le sexe, la race et la religion sont interdites dans leur principe et nécessitent toujours une justification qualifiée (ATF 138 I 265 consid. 4.3). 2.3.3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w:t>
      </w:r>
    </w:p>
    <w:p>
      <w:r>
        <w:rPr>
          <w:b/>
        </w:rPr>
        <w:t>E. 2.4</w:t>
      </w:r>
    </w:p>
    <w:p>
      <w:r>
        <w:t>L’art. 36 Cst. exige que toute restriction d’un droit fondamental soit fondée sur une base légale (al. 1), justifiée par un intérêt public ou par la protection d’un droit fondamental d’autrui (al. 2) et proportionnée au but visé (al. 3). Le principe de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2.5.1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 3 septembre 2019 consid. 4.2 ; 2C_596/2018 du 13 mai 2019). De plus, il ne suffit pas que les motifs de la décision attaquée soient insoutenables, encore faut-il que cette dernière soit arbitraire dans son résultat (ATF 144 I 170 consid. 7.3 ; arrêt du Tribunal fédéral 2C_985/2019 et 2C_45/2020 du 26 mai 2020 consid. 6.3). 2.5.2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rPr>
          <w:b/>
        </w:rPr>
        <w:t>E. 2.6</w:t>
      </w:r>
    </w:p>
    <w:p>
      <w:r>
        <w:t>Dans ses arrêts ACST/25/2022 , ACST/26/2022 et ACST/27/2022 du 22 décembre 2022, la chambre constitutionnelle a admis la conformité au droit supérieur de la LTVTC sur plusieurs points, dont l’art. 13 al. 9 let. c LTVTC. À cet égard, elle a en particulier retenu que la fixation d’une limite d’âge au-delà de laquelle l’AUADP devenait caduque constituait une restriction admissible à la liberté économique. Cette mesure permettait de faire entrer de nouveaux chauffeurs dans la profession et habilitait les chauffeurs concernés à exercer leur activité dix ans après l’âge légal de la retraite, les intéressés pouvant, après avoir atteint l’âge de 75 ans, continuer leur activité de chauffeurs en qualité de chauffeurs de VTC. En outre, elle n’emportait aucune inégalité de traitement entre concurrents directs, conformément à la jurisprudence rendue en la matière, notamment concernant la distinction entre chauffeurs de taxi et chauffeurs de VTC ( ACST/26/2022 précité consid. 5f et 6b). La chambre constitutionnelle confirmait ainsi que l’art. 13 al. 9 let. c LTVTC poursuivait un but d’intérêt public, la limitation de l’âge du titulaire d’une AUADP visant à permettre une meilleure rotation de celles-ci et n’apparaissait pas inapte à atteindre ce but, lequel ne pourrait a priori pas être atteint d’une autre manière au regard de la situation sous l’empire de l’aLTAXIS, puis de l’aLTVTC ( ACST/18/2022 du 31 octobre 2022 consid. 4). La chambre constitutionnelle a également rappelé que l’AUADP octroyée aux chauffeurs de taxis ne conférait généralement pas de droits acquis, à moins de garanties spécifiquement obtenues concernant la poursuite de l’activité de location de plaques, ce qui n’était pas le cas dans les affaires dont elle était saisie ( ACST/26/2022 ; ACST/27/2022 ).</w:t>
      </w:r>
    </w:p>
    <w:p>
      <w:r>
        <w:rPr>
          <w:b/>
        </w:rPr>
        <w:t>E. 2.7</w:t>
      </w:r>
    </w:p>
    <w:p>
      <w:r>
        <w:t>Par ailleurs, dans le cadre de l’examen de l’incompatibilité d’une décision de retrait du permis de conduire avec la profession de chauffeur de taxi en application de l’art. 6 al. 2 RTVTC, la chambre de céans a retenu dans plusieurs de ses récents arrêts, confirmant la jurisprudence précédente, que la pratique visant à prononcer la révocation de l’autorisation de manière automatique en présence d’une infraction mentionnée à l’art. 6 al. 2 let. b RTVTC était contraire à la loi (art. 7 al. 3 let. e et al. 5 LTVTC cum art. 6 al. 2 let. b et al. 3 RTVTC) puisqu’elle relevait d’un excès négatif du pouvoir d’appréciation. La direction ne pouvait se fonder sur la condamnation de l’OCV pour révoquer son autorisation d’exercer sans examiner si celle-ci était effectivement incompatible avec l’exercice de la profession de chauffeur dans les circonstances d’espèce ( ATA/371/2024 du 12 mars 2024 consid. 5 ; ATA/330/2024 du 5 mars 2024 consid. 5).</w:t>
      </w:r>
    </w:p>
    <w:p>
      <w:r>
        <w:rPr>
          <w:b/>
        </w:rPr>
        <w:t>E. 2.8</w:t>
      </w:r>
    </w:p>
    <w:p>
      <w:r>
        <w:t>En l’espèce, le recourant se plaint principalement du fait que, conformément au principe de la proportionnalité, sa situation personnelle, à savoir son état de santé et sa nécessité de poursuivre son activité professionnelle de chauffeur de taxi, n’a pas été prise en considération dans l’analyse de la caducité de son AUADP selon l’art. 13 al. 9 let. c LTVTC. En d’autres termes, seul son âge aurait été retenu au détriment des circonstances propres le concernant. En premier lieu, il convient de rappeler que la chambre administrative a déjà retenu, à plusieurs reprises, qu’elle ne voyait pas de raison de s’écarter de la jurisprudence de la chambre constitutionnelle qui a tranché la conformité de plusieurs dispositions de la LTVTC au droit supérieur, en particulier celle de l’art. 13 al. 9 let. c LTVTC, incluant l’examen du respect du principe de la proportionnalité et celui de la question des droits acquis, dans des arrêts du 22 décembre 2022 ( ACST/26/2022 et ACST/27/2022 ) s’agissant de la nouvelle LTVTC et du 24 mars 2023 ( ACST/15/2023 ) quant à son règlement d’application ( ATA/525/2023 du 23 mai 2023 consid. 5 ; ATA/687/2023 du 27 juin 2023 consid. 4). Ainsi, il n’appartient pas à la chambre administrative de revenir sur cette jurisprudence, entrée en force, au seul profit du recourant. En second lieu, il sied de souligner, que, contrairement à l’art. 6 al. 2 RTVTC, l’art. 13 al. 9 let. c LTVTC ne comprend pas de disposition similaire à l’art. 6 al. 3 RTVTC, laissant un pouvoir d’appréciation à l’autorité intimée. En effet, l’art. 13 al. 9 let. c LTVTC prévoit une caducité de plein droit de l’AUADP dès lors que la personne concernée a atteint l’âge de 75 ans révolus. Le département ne peut que la constater sans qu’aucune marge d’appréciation ne lui soit laissée. Ainsi, contrairement aux allégations du recourant, l’autorité intimée ne dispose pas in casu de la compétence de prolonger son AUADP au-delà de l’âge de 75 ans pour des circonstances particulières le concernant notamment compte tenu de son état de santé. En revanche, celui-ci lui permet de poursuivre son activité de chauffeur en tant que chauffeur de VTC. Le législateur a donc mesuré l’effet de la limitation en raison de l’âge, en n’excluant pas complètement les chauffeurs de taxi de plus de 75 ans de leur profession. En outre, tel que cela ressort des travaux législatifs susrappelés, les hypothèses évoquées par le recourant, à savoir son état de santé et la volonté de prolonger son activité professionnelle au-delà de l’âge de la retraite, ont été examinés dans la fixation des buts visés par l’art. 13 al. 9 let. c LTVTC. À cet égard, il sied de relever qu’à défaut d’âge limite pour des indépendants dans l’exercice de leur activité de chauffeur de taxi et compte tenu du numerus clausus des AUADP, associé à la volonté de permettre aux plus jeunes d’accéder à cette profession, le législateur a estimé nécessaire de fixer la limite d’âge à 75 ans. Cette dernière est donc justifiée de manière objective par des buts d’intérêt public. Dès lors, le recourant ne saurait exiger que son cas justifie une dérogation à l’art. 13 al. 9 let. c LTVTC, tandis que le législateur a précisément entendu exclure cette hypothèse pour divers motifs d’intérêt public exposés. Au vu de ce qui précède, c’est à bon droit que l’autorité intimée a constaté la caducité de l’AUADP liée aux plaques d’immatriculation GE 1______, en ordonnant leur dépôt auprès de l’OCV. Partant, le recours sera rejeté.</w:t>
      </w:r>
    </w:p>
    <w:p>
      <w:r>
        <w:rPr>
          <w:b/>
        </w:rPr>
        <w:t>E. 3</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