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A/4145/2024 vom 6. Januar 2025</w:t>
      </w:r>
    </w:p>
    <w:p>
      <w:r>
        <w:t>GE Cour de justice, 2025-01-06, FR</w:t>
      </w:r>
    </w:p>
    <w:p>
      <w:r>
        <w:rPr>
          <w:b/>
        </w:rPr>
        <w:t xml:space="preserve">Quelle: </w:t>
      </w:r>
      <w:r>
        <w:t>https://mcp.opencaselaw.ch/entscheid/ge_gerichte_A_4145_2024</w:t>
      </w:r>
    </w:p>
    <w:p>
      <w:r>
        <w:t>FR: GE_GERICHTE A/4145/2024 du 6 janvier 2025</w:t>
      </w:r>
    </w:p>
    <w:p>
      <w:r>
        <w:t>IT: GE_GERICHTE A/4145/2024 del 6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 ère phr. LaLEtr, la chambre administrative doit statuer dans les dix jours qui suivent sa saisine. Ayant reçu le recours le 30 décembre 2024 et statuant ce jour, elle respecte ce délai.</w:t>
      </w:r>
    </w:p>
    <w:p>
      <w:r>
        <w:rPr>
          <w:b/>
        </w:rPr>
        <w:t>E. 3</w:t>
      </w:r>
    </w:p>
    <w:p>
      <w:r>
        <w:t>Le recourant conclut à sa mise en liberté, subsidiairement à la réduction de la durée de sa détention.</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CP).</w:t>
      </w:r>
    </w:p>
    <w:p>
      <w:r>
        <w:rPr>
          <w:b/>
        </w:rPr>
        <w:t>E. 3.3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3.4</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3.5</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3.6</w:t>
      </w:r>
    </w:p>
    <w:p>
      <w:r>
        <w:t>Conformément à l'art. 5 par. 1 let.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Selon la Cour européenne des droits de l'homme (ci-après :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 Suso Musa c. Malte du 23 juillet 2013, § 91). Selon l'art. 76 al. 4 LEI, les démarches nécessaires à l'exécution du renvoi ou de l'expulsion doivent être entreprises sans tarder (« principe de célérité ou de diligence »).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3.7</w:t>
      </w:r>
    </w:p>
    <w:p>
      <w:r>
        <w:t>En l’espèce, il n’est pas contesté que les conditions de la détention administrative énoncées aux art. 75 al. 1 let. b et 76 al. 1 let. b ch. 1 LEI sont remplies, le recourant ayant fait l’objet de deux décisions d’interdiction territoriale et d’une décision de renvoi de Suisse, auxquelles il a contrevenu. Le recourant ne soutient pas que l’exécution de son renvoi serait impossible pour des raisons juridiques ou matérielles. Il conteste l’adéquation et la durée de sa détention et se plaint de la violation du principe de célérité. Il ne peut être suivi. S’agissant de l’adéquation, le recourant a fait l’objet de deux interdictions territoriales et d’une décision de renvoi qu’il n’a pas respectées. Il ne peut dès lors être cru lorsqu’il affirme qu’il n’a aucune raison de rester à Genève et qu’il retournerait de lui-même en Italie pour y retrouver son épouse pour les fêtes s’il était remis en liberté, étant observé qu’il ne rend par ailleurs pas vraisemblable qu’il aurait une épouse en Italie. La mesure apparaît ainsi propre à s’assurer de sa disponibilité lorsque son renvoi sera exécuté le 23 janvier 2025, et aucune autre mesure moins incisive n’est de nature à atteindre ce but. S’agissant du grief de violation du principe de célérité, l’OCPM a expliqué qu’il n’avait pu connaître la date de libération pénale du recourant. Le recourant a été libéré le 15 décembre 2024 et l’OCPM a avisé sans tarder les autorités italiennes. Sachant que les autorités italiennes doivent être avisées huit jours à l’avance et que les fêtes de fin d’année et la liste d’attente des renvois vers l’Italie sont susceptibles de différer quoi qu’il en soit l’exécution du renvoi, la fixation de la date d’exécution au 23 janvier 2025 n’apparait pas disproportionnée, et il n'est pas démontré qu’en annonçant plus tôt le renvoi du recourant celui-ci aurait été possible avant le mois de janvier. Le principe de célérité n’a pas été violé et la durée de la détention, de moins d’un mois, apparait proportionnée au but d’intérêt public de s’assurer du départ de Suisse du recourant. Entièrement mal fondé, le recours sera rejeté.</w:t>
      </w:r>
    </w:p>
    <w:p>
      <w:r>
        <w:rPr>
          <w:b/>
        </w:rPr>
        <w:t>E. 4</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