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A/4143/2021 vom 24. August 2022</w:t>
      </w:r>
    </w:p>
    <w:p>
      <w:r>
        <w:t>GE Cour de justice, 2022-08-24, FR</w:t>
      </w:r>
    </w:p>
    <w:p>
      <w:r>
        <w:rPr>
          <w:b/>
        </w:rPr>
        <w:t xml:space="preserve">Quelle: </w:t>
      </w:r>
      <w:r>
        <w:t>https://mcp.opencaselaw.ch/entscheid/ge_gerichte_A_4143_2021</w:t>
      </w:r>
    </w:p>
    <w:p>
      <w:r>
        <w:t>FR: GE_GERICHTE A/4143/2021 du 24 août 2022</w:t>
      </w:r>
    </w:p>
    <w:p>
      <w:r>
        <w:t>IT: GE_GERICHTE A/4143/2021 del 24 agosto 2022</w:t>
      </w:r>
    </w:p>
    <w:p>
      <w:pPr>
        <w:pStyle w:val="Heading2"/>
      </w:pPr>
      <w:r>
        <w:t>Erwägungen</w:t>
      </w:r>
    </w:p>
    <w:p>
      <w:r>
        <w:rPr>
          <w:b/>
        </w:rPr>
        <w:t>E. 4</w:t>
      </w:r>
    </w:p>
    <w:p>
      <w:r>
        <w:t>Le recours a été déposé dans les forme et délai prévus par les art. 56ss LPGA. ![endif]&gt;![if&gt; S’agissant des autres conditions de recevabilité du recours, on rappellera qu’elles supposent notamment que le recourant ait la qualité pour recourir (Jean METRAL in Commentaire romand LPGA, nn. 1 et 11 ad art. 59). L'art. 59 LPGA dispose que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Les prestations dues en raison d’un accident couvrent le droit au traitement médical (art. 10 LAA), le droit à une indemnité journalière (art. 16 et 17 LAA) en cas d’incapacité de travail, puis dès la stabilisation de l’état de santé le droit à une rente d'invalidité (art. 18 ss LAA) ainsi que le droit à une indemnité pour atteinte à l'intégrité (art. 24 et 25 LAA). En l’espèce, le recourant a notamment conclu à ce que l’intimée soit condamnée à verser les prestations d’assurance, sans préciser quelles sont les prestations qu’il sollicite concrètement. Or, s’agissant du droit à des indemnités journalières, les médecins traitants n’ont pas signalé de restriction de sa capacité de travail au-delà du 3 mai 2019, les Drs C______ et F______ soulignant en particulier que les plaintes neurologiques n’avaient pas de répercussion sur ce plan. Par la suite, la Dresse I______ a bien mentionné une activité exercée à 50 % dans son certificat du 16 décembre 2019, mais le recourant n’a pas allégué d’incapacité de travail dans son recours et n’a pas fourni de certificat médical qui l’attesterait. En ce qui concerne le droit au traitement médical, il n’affirme pas qu’il poursuivrait un traitement en lien avec ses troubles. Certes, le Dr K______ a fait état de suivis ORL et neurologiques en novembre 2021. Le recourant ne s’en est toutefois pas prévalu dans ses écritures, et il n’a produit aucune facture ou attestation de suivi par un médecin spécialisé dans l’un de ces domaines. Les Drs F______ et C______ n’ont d’ailleurs pas mentionné de traitement suivi postérieurement au 3 mai 2019, pas plus que le Dr D______. Les quelques séances de physiothérapie préconisées par le Dr E______, à supposer qu’elles soient en lien avec l’accident, ont également été prescrites largement avant cette date. Cela étant, le remboursement des trois séances de neuropsychologie avec la Dresse G______, qui ont vraisemblablement eu lieu après le 3 mai 2019, pourrait être litigieux – quand bien même il n’apparaît pas en l’état du dossier que le recourant en aurait requis la prise en charge et que l’intimée l’aurait refusée. L’admission du recours pourrait ainsi conférer un avantage au recourant, celui-ci pouvant éventuellement demander le paiement par l’intimée de ces soins. Cela suffit à reconnaître l’existence d’un intérêt digne de protection, et partant de la qualité pour recourir. Le recours est ainsi recevable.</w:t>
      </w:r>
    </w:p>
    <w:p>
      <w:r>
        <w:rPr>
          <w:b/>
        </w:rPr>
        <w:t>E. 5</w:t>
      </w:r>
    </w:p>
    <w:p>
      <w:r>
        <w:t>![endif]&gt;![if&gt;</w:t>
      </w:r>
    </w:p>
    <w:p>
      <w:r>
        <w:rPr>
          <w:b/>
        </w:rPr>
        <w:t>E. 5.1</w:t>
      </w:r>
    </w:p>
    <w:p>
      <w:r>
        <w:t>La responsabilité de l'assureur-accident s'étend, en principe, à toutes les conséquences dommageables qui se trouvent dans un rapport de causalité naturelle avec l'événement assuré (ATF 119 V 335 consid. 1). ![endif]&gt;![if&gt;</w:t>
      </w:r>
    </w:p>
    <w:p>
      <w:r>
        <w:rPr>
          <w:b/>
        </w:rPr>
        <w:t>E. 5.2</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3.1).![endif]&gt;![if&gt;</w:t>
      </w:r>
    </w:p>
    <w:p>
      <w:r>
        <w:rPr>
          <w:b/>
        </w:rPr>
        <w:t>E. 5.3</w:t>
      </w:r>
    </w:p>
    <w:p>
      <w:r>
        <w:t>Dans le domaine de l'assurance-accidents obligatoire, en cas d'atteinte à la santé physique, la causalité adéquate se recoupe largement avec la causalité naturelle, de sorte qu'elle ne joue pratiquement pas de rôle (arrêt du Tribunal fédéral 8C_416/2019 du 15 juillet 2020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(arrêt du Tribunal fédéral 8C_339/2007 du 6 mai 2008 consid. 2.1 et les références). ![endif]&gt;![if&gt;</w:t>
      </w:r>
    </w:p>
    <w:p>
      <w:r>
        <w:rPr>
          <w:b/>
        </w:rPr>
        <w:t>E. 5.4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5.1).![endif]&gt;![if&gt;</w:t>
      </w:r>
    </w:p>
    <w:p>
      <w:r>
        <w:rPr>
          <w:b/>
        </w:rPr>
        <w:t>E. 6</w:t>
      </w:r>
    </w:p>
    <w:p>
      <w:r>
        <w:t>La jurisprudence a dégagé des critères objectifs qui permettent de juger du caractère adéquat du lien de causalité entre des troubles non objectivés et un accident. Elle a tout d'abord classé les accidents en trois catégories, en fonction de leur déroulement : les accidents insignifiants, ou de peu de gravité; les accidents de gravité moyenne et les accidents graves. En présence d'un accident de gravité moyenne, il faut prendre en considération un certain nombre de critères, dont les plus importants sont les suivants :  ![endif]&gt;![if&gt;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w:t>
      </w:r>
    </w:p>
    <w:p>
      <w:r>
        <w:rPr>
          <w:b/>
        </w:rPr>
        <w:t>E. 7</w:t>
      </w:r>
    </w:p>
    <w:p>
      <w:r>
        <w:t>Sont seules déterminantes pour apprécier le degré de gravité d'un accident les forces générées par l'accident et non pas les conséquences qui en résultent. La gravité des lésions subies, qui constitue l'un des critères objectifs pour juger du caractère adéquat du lien de causalité, ne doit être prise en considération à ce stade de l'examen que dans la mesure où elle donne une indication sur les forces en jeu lors de l'accident (arrêt du Tribunal fédéral 8C_1007/2012 du 11 décembre 2013 consid. 5.3.1. et les références).![endif]&gt;![if&gt; Parmi les accidents qualifiés de gravité moyenne par la jurisprudence, on peut citer les cas suivants : véhicule de l’assuré qui est abruptement freiné lors d’une manœuvre de dépassement à 100 km/h, dérape, heurte un muret de pierre, se renverse et s’arrête sur le côté conducteur (arrêt du Tribunal fédéral 8C_169/2007 du 5 février 2008 consid. 4.2.2) ; voiture qui lors d’un dépassement est touchée sur le côté par un camion et se renverse (arrêt du Tribunal fédéral 8C_743/2007 du 14 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 15 mars 2007 consid. 5.2) ;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 voiture qui est percutée à l’arrière sur l’autoroute et qui emboutit l’automobile qui la précède (arrêt du Tribunal fédéral 8C_720/2012 du 15 octobre 2013 consid. 7.1) ; voiture percutée à 120 km/h sur l’autoroute par un véhicule venant de l'arrière, et qui sous l'effet du choc fait plusieurs tours sur elle-même avant de heurter le talus herbeux longeant la bande d'urgence et de se retourner sur le toit (arrêt du Tribunal fédéral des assurances U 172/06 du 10 mai 2007 consid. 7.3) ; cycliste percuté par l’arrière par une voiture (arrêt du Tribunal fédéral 8C_495/2007 du 31 janvier 2008 consid. 4.3) ; piétonne heurtée frontalement sur un passage piéton par un véhicule roulant à environ 40-50 km/h (arrêt du Tribunal fédéral 8C_546/2013 du 24 septembre 2013 consid. 3.2) ; conductrice d'une motocyclette renversée par un automobiliste qui lui a soudainement coupé la route (arrêt du Tribunal fédéral des assurances U 119/06 du 23 mai 2007 consid. 6) ; assurée qui traversait à vélo, à une vitesse réduite, un passage sécurisé par des feux lorsqu'elle a été heurtée latéralement par un scooter roulant à vitesse modérée mais sans avoir freiné, projetant la victime à une distance de plus de 9 mètres (arrêt du Tribunal fédéral 8C_816/2012 du 4 septembre 2013 consid. 7.3) ; assuré à moto remontant une colonne de voitures à l'arrêt, entrant en collision avec une automobile venant en sens inverse qui lui a coupé la priorité (arrêt du Tribunal fédéral des assurances U 183/00 du 29 janvier 2001 consid. 3a) ; collision frontale entre deux véhicules roulant à une vitesse modérée au moment de l'impact (arrêt du Tribunal fédéral 8C_961/2012 du 18 juillet 2013 consid. 5.1).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violente collision de front d’une voiture par une voiture venant en sens inverse, entraînant plusieurs fractures chez la passagère (arrêt du Tribunal fédéral des assurances U 412/05 du 20 septembre 2006 consid. 5.2.1), accident entraînant l’éjection à grande vitesse de l’assurée d’une voiture qui fait plusieurs tonneaux sur la voie opposée (arrêt du Tribunal fédéral des assurances U 502/06 du 23 avril 2007 consid. 3.2.2) ; chute d’une hauteur de plusieurs mètres sur le dos et le séant avec des fractures et des contusions (RAMA 1998/5 n° U 307 p. 448 consid. 3a).</w:t>
      </w:r>
    </w:p>
    <w:p>
      <w:r>
        <w:rPr>
          <w:b/>
        </w:rPr>
        <w:t>E. 8</w:t>
      </w:r>
    </w:p>
    <w:p>
      <w:r>
        <w:t>En l’espèce, il n’est pas contesté que le recourant ne présente pas de lésion organique pouvant expliquer les troubles neurologiques, neuropsychologiques et psychiques. ![endif]&gt;![if&gt;</w:t>
      </w:r>
    </w:p>
    <w:p>
      <w:r>
        <w:rPr>
          <w:b/>
        </w:rPr>
        <w:t>E. 8.1</w:t>
      </w:r>
    </w:p>
    <w:p>
      <w:r>
        <w:t>On soulignera que l’existence d’un lien de causalité naturelle entre ces atteintes et l’accident d’octobre 2016 n’a pas été établie à satisfaction de droit - les rapports du Dr C______ semblant toutefois plaider à l’encontre d’un tel lien, s’agissant des maux de tête, puisqu’il retient des céphalées de tension. Des investigations médicales pour élucider cette question sont cependant inutiles, conformément à la jurisprudence, dès lors qu’un lien de causalité adéquate entre les atteintes non objectivées par un substrat organique et l’accident doit en toute hypothèse être nié. ![endif]&gt;![if&gt;</w:t>
      </w:r>
    </w:p>
    <w:p>
      <w:r>
        <w:rPr>
          <w:b/>
        </w:rPr>
        <w:t>E. 8.2</w:t>
      </w:r>
    </w:p>
    <w:p>
      <w:r>
        <w:t>En ce qui concerne la qualification de l’événement d’octobre 2016, ayant consisté en une collision frontale entre deux véhicules, il doit être classifié dans les accidents de gravité moyenne au vu de la casuistique rappelée ci-dessus. On ne saurait considérer qu’il est à la limite des accidents peu graves, comme le soutient l’intimée. Le recourant ne peut quant à lui pas être suivi en tant qu’il affirme que l’accident serait grave. Il se réfère notamment sur ce point à l’audition du 26 octobre 2016 du conducteur du véhicule accidenté, qui a déclaré à la gendarmerie qu’il avait ressenti que la voiture s’était soulevée « parce qu’il avait entendu le bruit du véhicule touchant ensuite le sol ». Le recourant affirme que le soulèvement de la voiture démontre les forces en jeu, et partant la gravité de l’accident. Il soutient également que les lésions qu’il a subies révèlent la violence et la gravité de l’accident. Or, le fait que le véhicule ait pu se soulever quelque peu – ce qui n’est d’ailleurs pas établi au degré de la vraisemblance prépondérante mais correspond uniquement à la sensation décrite par son conducteur – en réaction à un impact ne suffit pas à conclure à des forces particulièrement marquées. Le véhicule n’a en particulier ni été renversé, ni quitté la route. Quant aux fractures subies, elles ne sont pas un critère déterminant pour la classification de l’accident, conformément à la jurisprudence. Par ailleurs, le fait que les deux autres passagers du véhicule accidenté se sont sortis quasiment indemnes de cet accident selon les déclarations à la gendarmerie – le conducteur ayant notamment exposé avoir pu quitter l’hôpital le jour même de l’événement – démontre que le critère des lésions subies n’est pas nécessairement pertinent pour juger de la violence d’un accident. ![endif]&gt;![if&gt;</w:t>
      </w:r>
    </w:p>
    <w:p>
      <w:r>
        <w:rPr>
          <w:b/>
        </w:rPr>
        <w:t>E. 8.3</w:t>
      </w:r>
    </w:p>
    <w:p>
      <w:r>
        <w:t>En ce qui concerne les différents critères permettant de retenir un lien de causalité adéquate entre un accident et des atteintes non objectivées, la chambre de céans retient ce qui suit.![endif]&gt;![if&gt; Pour ce qui a trait au caractère impressionnant, le Tribunal fédéral admet qu'à tout accident de gravité moyenne est associé un certain caractère impressionnant, lequel ne suffit toutefois pas pour admettre l'existence du critère en question (arrêts du Tribunal fédéral 8C_96/2017 du 24 janvier 2018 consid. 5.1 et 8C_1007/2012 du 11 décembre 2013 consid. 5.4.1). Ce critère a été considéré comme réalisé dans le cas d’une collision entre une voiture et un camion dans un tunnel d’autoroute, avec de nombreux heurts contre le mur du tunnel ; d’une collision entre une voiture et un semi-remorque, le conducteur du semi-remorque n’ayant pas remarqué le véhicule dans lequel se trouvait l’assuré et l’ayant poussé sur une distance de 300 mètres ; ou d’une importante embardée du véhicule qui perd une roue sur l’autoroute alors qu’il circule à haute vitesse, avec plusieurs tonneaux et projection d’un passager hors du véhicule (arrêt du Tribunal fédéral 8C_817/2009 du 26 mars 2010 et les références). Il a également été reconnu dans le cas d’un accident où la voiture que conduisait l’assurée s'est encastrée dans un arbre, entraînant le décès de sa mère qui occupait le siège passager. Il a en revanche été nié dans plusieurs cas de chutes à vélo sur la chaussée, consécutives à un freinage brusque sans collision avec un autre véhicule (arrêt du Tribunal fédéral 8C_1007/2012 du 11 décembre 2013 consid. 5.4.1 et les références). En l’espèce, ce critère doit être nié. Il n’existe en effet aucune circonstance particulière qui confèrerait un caractère particulièrement dramatique ou impressionnant à cet accident. On doit en outre souligner que le recourant était endormi au moment du choc avec l’autre voiture, de sorte qu’il n’a précisément pas vu venir le danger et craint pour sa vie dans l’anticipation du choc en voyant cette voiture arriver en sens inverse. Il a du reste déclaré lors de son audition par la gendarmerie qu’il n’avait pas compris ce qui s’était passé. Quant au traitement médical, il n’a pas été particulièrement long ni invasif, étant souligné que le recourant a pu quitter l’hôpital quelques jours après l’accident et que les médecins n’ont pas évoqué de suivi particulier après son retour à domicile. On ne déplore pas non plus d’erreur dans le traitement de l’accident, dont la Dresse I______ a d’ailleurs souligné l’adéquation. Il n’y a pas non plus eu de difficultés ou de complications durant la convalescence. A ce sujet, contrairement à ce que semble retenir le recourant, les troubles neuropsychologiques ou psychiques - dont l’existence conduit précisément à l’analyse de ce critère - ne sauraient être considérés comme relevant de telles difficultés ou complications, faute de quoi ledit critère serait par définition systématiquement réalisé. Quant à l’incapacité de travail, elle a été brève puisque le recourant a pu reprendre son activité à temps partiel environ un mois après l’accident, et a recouvré une pleine capacité de travail moins de trois mois après sa survenance. En ce qui concerne les deux derniers critères, s’il n’est pas question de minimiser les fractures subies par le recourant, on peut néanmoins se demander si elles sont d’une gravité telle que ce critère devrait être considéré comme rempli. Quant aux douleurs physiques persistantes, il est loin d’être certain que les céphalées de tension, quelle que soit leur origine, suffisent à l’admission de ce critère. En effet, si elles sont décrites comme très intenses, elles ne durent qu’une à deux minutes une à deux fois par jour et ne sont donc pas permanentes. Quoi qu’il en soit, en toute hypothèse, même si ces deux critères devaient être considérés comme remplis, le seuil de trois critères exigés pour admettre l’existence d’un lien de causalité adéquate entre des troubles non objectivés et un accident de gravité moyenne ne serait pas pour autant atteint. Ainsi, on ne saurait retenir que les troubles non organiques du recourant sont en rapport de causalité adéquate avec l’accident d’octobre 2016.</w:t>
      </w:r>
    </w:p>
    <w:p>
      <w:r>
        <w:rPr>
          <w:b/>
        </w:rPr>
        <w:t>E. 8.4</w:t>
      </w:r>
    </w:p>
    <w:p>
      <w:r>
        <w:t>Compte tenu de ce qui précède, la décision de l’intimée est conforme au droit. Elle doit ainsi être confirmée, sans qu’il soit besoin de procéder aux mesures d’instruction requises par le recourant, par appréciation anticipée des preuves (arrêt du Tribunal fédéral 9C_97/2020 du 10 juin 2020 consid. 3.2).![endif]&gt;![if&gt;</w:t>
      </w:r>
    </w:p>
    <w:p>
      <w:r>
        <w:rPr>
          <w:b/>
        </w:rPr>
        <w:t>E. 9</w:t>
      </w:r>
    </w:p>
    <w:p>
      <w:r>
        <w:t>Le recours est rejeté.![endif]&gt;![if&gt; Le recourant, qui succombe, n’a pas droit à des dépens (art. 61 let. g LPGA). Pour le surplus, la procédure est gratuite (art. 61 let. f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